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center"/>
        <w:outlineLvl w:val="0"/>
        <w:rPr>
          <w:rFonts w:hint="eastAsia" w:ascii="方正小标宋简体" w:hAnsi="方正小标宋简体" w:eastAsia="方正小标宋简体" w:cs="方正小标宋简体"/>
          <w:b w:val="0"/>
          <w:bCs/>
          <w:kern w:val="2"/>
          <w:sz w:val="44"/>
          <w:szCs w:val="44"/>
          <w:lang w:val="zh-CN" w:eastAsia="zh-CN" w:bidi="ar-SA"/>
        </w:rPr>
      </w:pPr>
      <w:r>
        <w:rPr>
          <w:rFonts w:hint="eastAsia" w:ascii="方正小标宋简体" w:hAnsi="方正小标宋简体" w:eastAsia="方正小标宋简体" w:cs="方正小标宋简体"/>
          <w:b w:val="0"/>
          <w:bCs/>
          <w:sz w:val="44"/>
          <w:szCs w:val="44"/>
          <w:lang w:val="zh-CN" w:eastAsia="zh-CN"/>
        </w:rPr>
        <w:t>脱硫系统附属设施专项治理项目报价单</w:t>
      </w:r>
    </w:p>
    <w:tbl>
      <w:tblPr>
        <w:tblStyle w:val="6"/>
        <w:tblpPr w:leftFromText="180" w:rightFromText="180" w:vertAnchor="page" w:horzAnchor="page" w:tblpX="1159" w:tblpY="1679"/>
        <w:tblW w:w="9738" w:type="dxa"/>
        <w:tblInd w:w="-8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3588"/>
        <w:gridCol w:w="1465"/>
        <w:gridCol w:w="1466"/>
        <w:gridCol w:w="321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653" w:hRule="atLeast"/>
        </w:trPr>
        <w:tc>
          <w:tcPr>
            <w:tcW w:w="3588" w:type="dxa"/>
            <w:noWrap w:val="0"/>
            <w:vAlign w:val="center"/>
          </w:tcPr>
          <w:p>
            <w:pPr>
              <w:spacing w:line="480" w:lineRule="auto"/>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项目或内容</w:t>
            </w:r>
          </w:p>
        </w:tc>
        <w:tc>
          <w:tcPr>
            <w:tcW w:w="1465" w:type="dxa"/>
            <w:noWrap w:val="0"/>
            <w:vAlign w:val="center"/>
          </w:tcPr>
          <w:p>
            <w:pPr>
              <w:pStyle w:val="4"/>
              <w:ind w:firstLine="0"/>
              <w:jc w:val="center"/>
              <w:rPr>
                <w:rFonts w:hint="eastAsia" w:ascii="仿宋_GB2312" w:hAnsi="仿宋_GB2312" w:eastAsia="仿宋_GB2312" w:cs="仿宋_GB2312"/>
                <w:szCs w:val="24"/>
                <w:lang w:eastAsia="zh-CN"/>
              </w:rPr>
            </w:pPr>
            <w:r>
              <w:rPr>
                <w:rFonts w:hint="eastAsia" w:ascii="仿宋_GB2312" w:hAnsi="仿宋_GB2312" w:eastAsia="仿宋_GB2312" w:cs="仿宋_GB2312"/>
                <w:bCs/>
                <w:kern w:val="2"/>
                <w:sz w:val="24"/>
                <w:szCs w:val="24"/>
                <w:lang w:eastAsia="zh-CN"/>
              </w:rPr>
              <w:t>金额（元）</w:t>
            </w:r>
          </w:p>
        </w:tc>
        <w:tc>
          <w:tcPr>
            <w:tcW w:w="1466" w:type="dxa"/>
            <w:noWrap w:val="0"/>
            <w:vAlign w:val="center"/>
          </w:tcPr>
          <w:p>
            <w:pPr>
              <w:pStyle w:val="4"/>
              <w:ind w:firstLine="0"/>
              <w:jc w:val="center"/>
              <w:rPr>
                <w:rFonts w:hint="eastAsia" w:ascii="仿宋_GB2312" w:hAnsi="仿宋_GB2312" w:eastAsia="仿宋_GB2312" w:cs="仿宋_GB2312"/>
                <w:bCs/>
                <w:kern w:val="2"/>
                <w:sz w:val="24"/>
                <w:szCs w:val="24"/>
                <w:lang w:eastAsia="zh-CN"/>
              </w:rPr>
            </w:pPr>
            <w:r>
              <w:rPr>
                <w:rFonts w:hint="eastAsia" w:ascii="仿宋_GB2312" w:hAnsi="仿宋_GB2312" w:eastAsia="仿宋_GB2312" w:cs="仿宋_GB2312"/>
                <w:bCs/>
                <w:kern w:val="2"/>
                <w:sz w:val="24"/>
                <w:szCs w:val="24"/>
                <w:lang w:eastAsia="zh-CN"/>
              </w:rPr>
              <w:t>税率</w:t>
            </w:r>
          </w:p>
        </w:tc>
        <w:tc>
          <w:tcPr>
            <w:tcW w:w="3219" w:type="dxa"/>
            <w:noWrap w:val="0"/>
            <w:vAlign w:val="center"/>
          </w:tcPr>
          <w:p>
            <w:pPr>
              <w:spacing w:line="240" w:lineRule="auto"/>
              <w:jc w:val="center"/>
              <w:rPr>
                <w:rFonts w:hint="eastAsia" w:ascii="仿宋_GB2312" w:hAnsi="仿宋_GB2312" w:eastAsia="仿宋_GB2312" w:cs="仿宋_GB2312"/>
                <w:b w:val="0"/>
                <w:bCs/>
                <w:sz w:val="24"/>
              </w:rPr>
            </w:pPr>
            <w:r>
              <w:rPr>
                <w:rFonts w:hint="eastAsia" w:ascii="仿宋_GB2312" w:hAnsi="仿宋_GB2312" w:eastAsia="仿宋_GB2312" w:cs="仿宋_GB2312"/>
                <w:b w:val="0"/>
                <w:bCs/>
                <w:sz w:val="24"/>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trPr>
        <w:tc>
          <w:tcPr>
            <w:tcW w:w="3588" w:type="dxa"/>
            <w:noWrap w:val="0"/>
            <w:vAlign w:val="center"/>
          </w:tcPr>
          <w:p>
            <w:pPr>
              <w:spacing w:line="360" w:lineRule="auto"/>
              <w:jc w:val="center"/>
              <w:rPr>
                <w:rFonts w:hint="eastAsia" w:ascii="仿宋_GB2312" w:hAnsi="仿宋_GB2312" w:eastAsia="仿宋_GB2312" w:cs="仿宋_GB2312"/>
                <w:bCs/>
                <w:color w:val="auto"/>
                <w:sz w:val="24"/>
                <w:highlight w:val="none"/>
                <w:lang w:eastAsia="zh-CN"/>
              </w:rPr>
            </w:pPr>
            <w:r>
              <w:rPr>
                <w:rFonts w:hint="eastAsia" w:ascii="仿宋_GB2312" w:hAnsi="仿宋_GB2312" w:eastAsia="仿宋_GB2312" w:cs="仿宋_GB2312"/>
                <w:bCs/>
                <w:color w:val="auto"/>
                <w:sz w:val="24"/>
                <w:highlight w:val="none"/>
              </w:rPr>
              <w:t>脱硫系统附属设施专项治理</w:t>
            </w:r>
            <w:r>
              <w:rPr>
                <w:rFonts w:hint="eastAsia" w:ascii="仿宋_GB2312" w:hAnsi="仿宋_GB2312" w:eastAsia="仿宋_GB2312" w:cs="仿宋_GB2312"/>
                <w:bCs/>
                <w:color w:val="auto"/>
                <w:sz w:val="24"/>
                <w:highlight w:val="none"/>
                <w:lang w:eastAsia="zh-CN"/>
              </w:rPr>
              <w:t>综合含税总报价</w:t>
            </w:r>
          </w:p>
        </w:tc>
        <w:tc>
          <w:tcPr>
            <w:tcW w:w="1465" w:type="dxa"/>
            <w:noWrap w:val="0"/>
            <w:vAlign w:val="center"/>
          </w:tcPr>
          <w:p>
            <w:pPr>
              <w:spacing w:line="240" w:lineRule="auto"/>
              <w:jc w:val="center"/>
              <w:rPr>
                <w:rFonts w:hint="eastAsia" w:ascii="仿宋_GB2312" w:hAnsi="仿宋_GB2312" w:eastAsia="仿宋_GB2312" w:cs="仿宋_GB2312"/>
                <w:b w:val="0"/>
                <w:bCs/>
                <w:sz w:val="24"/>
              </w:rPr>
            </w:pPr>
          </w:p>
        </w:tc>
        <w:tc>
          <w:tcPr>
            <w:tcW w:w="1466" w:type="dxa"/>
            <w:noWrap w:val="0"/>
            <w:vAlign w:val="center"/>
          </w:tcPr>
          <w:p>
            <w:pPr>
              <w:spacing w:line="240" w:lineRule="auto"/>
              <w:jc w:val="center"/>
              <w:rPr>
                <w:rFonts w:hint="eastAsia" w:ascii="仿宋_GB2312" w:hAnsi="仿宋_GB2312" w:eastAsia="仿宋_GB2312" w:cs="仿宋_GB2312"/>
                <w:b w:val="0"/>
                <w:bCs/>
                <w:sz w:val="24"/>
              </w:rPr>
            </w:pPr>
          </w:p>
        </w:tc>
        <w:tc>
          <w:tcPr>
            <w:tcW w:w="3219" w:type="dxa"/>
            <w:noWrap w:val="0"/>
            <w:vAlign w:val="top"/>
          </w:tcPr>
          <w:p>
            <w:pPr>
              <w:spacing w:line="240" w:lineRule="auto"/>
              <w:jc w:val="left"/>
              <w:rPr>
                <w:rFonts w:hint="eastAsia" w:ascii="仿宋_GB2312" w:hAnsi="仿宋_GB2312" w:eastAsia="仿宋_GB2312" w:cs="仿宋_GB2312"/>
                <w:b w:val="0"/>
                <w:bCs/>
                <w:sz w:val="24"/>
              </w:rPr>
            </w:pPr>
            <w:r>
              <w:rPr>
                <w:rFonts w:hint="eastAsia" w:ascii="仿宋_GB2312" w:hAnsi="仿宋_GB2312" w:eastAsia="仿宋_GB2312" w:cs="仿宋_GB2312"/>
                <w:bCs/>
                <w:color w:val="auto"/>
                <w:sz w:val="24"/>
                <w:highlight w:val="none"/>
                <w:lang w:val="en-US" w:eastAsia="zh-CN"/>
              </w:rPr>
              <w:t>此项费用为完成</w:t>
            </w:r>
            <w:r>
              <w:rPr>
                <w:rFonts w:hint="eastAsia" w:ascii="仿宋_GB2312" w:hAnsi="仿宋_GB2312" w:eastAsia="仿宋_GB2312" w:cs="仿宋_GB2312"/>
                <w:bCs/>
                <w:color w:val="auto"/>
                <w:sz w:val="24"/>
                <w:highlight w:val="none"/>
              </w:rPr>
              <w:t>脱硫系统附属设施专项治理</w:t>
            </w:r>
            <w:r>
              <w:rPr>
                <w:rFonts w:hint="eastAsia" w:ascii="仿宋_GB2312" w:hAnsi="仿宋_GB2312" w:eastAsia="仿宋_GB2312" w:cs="仿宋_GB2312"/>
                <w:bCs/>
                <w:color w:val="auto"/>
                <w:sz w:val="24"/>
                <w:highlight w:val="none"/>
                <w:lang w:val="en-US" w:eastAsia="zh-CN"/>
              </w:rPr>
              <w:t>项目内容的全部费用</w:t>
            </w:r>
            <w:r>
              <w:rPr>
                <w:rFonts w:hint="eastAsia" w:ascii="仿宋_GB2312" w:hAnsi="仿宋_GB2312" w:eastAsia="仿宋_GB2312" w:cs="仿宋_GB2312"/>
                <w:b w:val="0"/>
                <w:bCs/>
                <w:color w:val="auto"/>
                <w:kern w:val="2"/>
                <w:sz w:val="24"/>
                <w:szCs w:val="24"/>
                <w:highlight w:val="none"/>
                <w:lang w:val="en-US" w:eastAsia="zh-CN" w:bidi="ar-SA"/>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812" w:hRule="atLeast"/>
        </w:trPr>
        <w:tc>
          <w:tcPr>
            <w:tcW w:w="3588" w:type="dxa"/>
            <w:noWrap w:val="0"/>
            <w:vAlign w:val="center"/>
          </w:tcPr>
          <w:p>
            <w:pPr>
              <w:spacing w:line="600" w:lineRule="auto"/>
              <w:jc w:val="center"/>
              <w:rPr>
                <w:rFonts w:hint="eastAsia" w:ascii="仿宋_GB2312" w:hAnsi="仿宋_GB2312" w:eastAsia="仿宋_GB2312" w:cs="仿宋_GB2312"/>
                <w:bCs/>
                <w:color w:val="auto"/>
                <w:sz w:val="24"/>
                <w:highlight w:val="none"/>
                <w:lang w:eastAsia="zh-CN"/>
              </w:rPr>
            </w:pPr>
            <w:r>
              <w:rPr>
                <w:rFonts w:hint="eastAsia" w:ascii="仿宋_GB2312" w:hAnsi="仿宋_GB2312" w:eastAsia="仿宋_GB2312" w:cs="仿宋_GB2312"/>
                <w:bCs/>
                <w:color w:val="auto"/>
                <w:sz w:val="24"/>
                <w:highlight w:val="none"/>
                <w:lang w:eastAsia="zh-CN"/>
              </w:rPr>
              <w:t>其中：安全文明施工费</w:t>
            </w:r>
          </w:p>
        </w:tc>
        <w:tc>
          <w:tcPr>
            <w:tcW w:w="1465" w:type="dxa"/>
            <w:noWrap w:val="0"/>
            <w:vAlign w:val="center"/>
          </w:tcPr>
          <w:p>
            <w:pPr>
              <w:spacing w:line="240" w:lineRule="auto"/>
              <w:jc w:val="center"/>
              <w:rPr>
                <w:rFonts w:hint="eastAsia" w:ascii="仿宋_GB2312" w:hAnsi="仿宋_GB2312" w:eastAsia="仿宋_GB2312" w:cs="仿宋_GB2312"/>
                <w:b w:val="0"/>
                <w:bCs/>
                <w:sz w:val="24"/>
              </w:rPr>
            </w:pPr>
          </w:p>
        </w:tc>
        <w:tc>
          <w:tcPr>
            <w:tcW w:w="1466" w:type="dxa"/>
            <w:noWrap w:val="0"/>
            <w:vAlign w:val="center"/>
          </w:tcPr>
          <w:p>
            <w:pPr>
              <w:spacing w:line="240" w:lineRule="auto"/>
              <w:jc w:val="center"/>
              <w:rPr>
                <w:rFonts w:hint="eastAsia" w:ascii="仿宋_GB2312" w:hAnsi="仿宋_GB2312" w:eastAsia="仿宋_GB2312" w:cs="仿宋_GB2312"/>
                <w:b w:val="0"/>
                <w:bCs/>
                <w:sz w:val="24"/>
              </w:rPr>
            </w:pPr>
          </w:p>
        </w:tc>
        <w:tc>
          <w:tcPr>
            <w:tcW w:w="3219" w:type="dxa"/>
            <w:noWrap w:val="0"/>
            <w:vAlign w:val="top"/>
          </w:tcPr>
          <w:p>
            <w:pPr>
              <w:spacing w:line="240" w:lineRule="auto"/>
              <w:jc w:val="left"/>
              <w:rPr>
                <w:rFonts w:hint="eastAsia" w:ascii="仿宋_GB2312" w:hAnsi="仿宋_GB2312" w:eastAsia="仿宋_GB2312" w:cs="仿宋_GB2312"/>
                <w:bCs/>
                <w:color w:val="auto"/>
                <w:sz w:val="24"/>
                <w:highlight w:val="none"/>
                <w:lang w:val="en-US" w:eastAsia="zh-CN"/>
              </w:rPr>
            </w:pPr>
            <w:r>
              <w:rPr>
                <w:rFonts w:hint="eastAsia" w:ascii="仿宋_GB2312" w:hAnsi="仿宋_GB2312" w:eastAsia="仿宋_GB2312" w:cs="仿宋_GB2312"/>
                <w:b/>
                <w:bCs w:val="0"/>
                <w:color w:val="FF0000"/>
                <w:sz w:val="24"/>
                <w:highlight w:val="none"/>
                <w:lang w:val="en-US" w:eastAsia="zh-CN"/>
              </w:rPr>
              <w:t>此项为必填项，该费用为固定价，金额为</w:t>
            </w:r>
            <w:r>
              <w:rPr>
                <w:rFonts w:hint="eastAsia" w:ascii="仿宋_GB2312" w:hAnsi="仿宋_GB2312" w:eastAsia="仿宋_GB2312" w:cs="仿宋_GB2312"/>
                <w:b/>
                <w:bCs w:val="0"/>
                <w:color w:val="FF0000"/>
                <w:sz w:val="24"/>
                <w:highlight w:val="none"/>
              </w:rPr>
              <w:t>脱硫系统附属设施专项治理</w:t>
            </w:r>
            <w:r>
              <w:rPr>
                <w:rFonts w:hint="eastAsia" w:ascii="仿宋_GB2312" w:hAnsi="仿宋_GB2312" w:eastAsia="仿宋_GB2312" w:cs="仿宋_GB2312"/>
                <w:b/>
                <w:bCs w:val="0"/>
                <w:color w:val="FF0000"/>
                <w:sz w:val="24"/>
                <w:highlight w:val="none"/>
                <w:lang w:val="en-US" w:eastAsia="zh-CN"/>
              </w:rPr>
              <w:t>合含税总报价的2.5%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trHeight w:val="766" w:hRule="atLeast"/>
        </w:trPr>
        <w:tc>
          <w:tcPr>
            <w:tcW w:w="3588" w:type="dxa"/>
            <w:tcBorders>
              <w:top w:val="single" w:color="auto" w:sz="4" w:space="0"/>
              <w:bottom w:val="single" w:color="auto" w:sz="4" w:space="0"/>
            </w:tcBorders>
            <w:noWrap w:val="0"/>
            <w:vAlign w:val="center"/>
          </w:tcPr>
          <w:p>
            <w:pPr>
              <w:spacing w:line="240" w:lineRule="auto"/>
              <w:ind w:firstLine="0" w:firstLineChars="0"/>
              <w:jc w:val="center"/>
              <w:rPr>
                <w:rFonts w:hint="eastAsia" w:ascii="仿宋_GB2312" w:hAnsi="仿宋_GB2312" w:eastAsia="仿宋_GB2312" w:cs="仿宋_GB2312"/>
                <w:b w:val="0"/>
                <w:bCs w:val="0"/>
                <w:sz w:val="24"/>
                <w:lang w:eastAsia="zh-CN"/>
              </w:rPr>
            </w:pPr>
            <w:r>
              <w:rPr>
                <w:rFonts w:hint="eastAsia" w:ascii="仿宋_GB2312" w:hAnsi="仿宋_GB2312" w:eastAsia="仿宋_GB2312" w:cs="仿宋_GB2312"/>
                <w:b w:val="0"/>
                <w:bCs/>
                <w:sz w:val="24"/>
                <w:lang w:eastAsia="zh-CN"/>
              </w:rPr>
              <w:t>综合含税总报价金额</w:t>
            </w:r>
            <w:r>
              <w:rPr>
                <w:rFonts w:hint="eastAsia" w:ascii="仿宋_GB2312" w:hAnsi="仿宋_GB2312" w:eastAsia="仿宋_GB2312" w:cs="仿宋_GB2312"/>
                <w:b w:val="0"/>
                <w:bCs w:val="0"/>
                <w:sz w:val="24"/>
                <w:u w:val="none"/>
                <w:lang w:eastAsia="zh-CN"/>
              </w:rPr>
              <w:t>大写：</w:t>
            </w:r>
          </w:p>
        </w:tc>
        <w:tc>
          <w:tcPr>
            <w:tcW w:w="6150" w:type="dxa"/>
            <w:gridSpan w:val="3"/>
            <w:tcBorders>
              <w:top w:val="single" w:color="auto" w:sz="4" w:space="0"/>
              <w:bottom w:val="single" w:color="auto" w:sz="4" w:space="0"/>
            </w:tcBorders>
            <w:noWrap w:val="0"/>
            <w:vAlign w:val="center"/>
          </w:tcPr>
          <w:p>
            <w:pPr>
              <w:spacing w:line="240" w:lineRule="auto"/>
              <w:jc w:val="both"/>
              <w:rPr>
                <w:rFonts w:hint="eastAsia" w:ascii="仿宋_GB2312" w:hAnsi="仿宋_GB2312" w:eastAsia="仿宋_GB2312" w:cs="仿宋_GB2312"/>
                <w:b w:val="0"/>
                <w:bCs w:val="0"/>
                <w:sz w:val="24"/>
                <w:u w:val="single"/>
                <w:lang w:eastAsia="zh-CN"/>
              </w:rPr>
            </w:pPr>
          </w:p>
        </w:tc>
      </w:tr>
    </w:tbl>
    <w:p>
      <w:pPr>
        <w:spacing w:line="360" w:lineRule="auto"/>
        <w:jc w:val="both"/>
        <w:rPr>
          <w:rFonts w:hint="eastAsia" w:ascii="仿宋_GB2312" w:hAnsi="仿宋_GB2312" w:eastAsia="仿宋_GB2312" w:cs="仿宋_GB2312"/>
          <w:color w:val="auto"/>
          <w:sz w:val="24"/>
          <w:lang w:eastAsia="zh-CN"/>
        </w:rPr>
      </w:pPr>
      <w:r>
        <w:rPr>
          <w:rFonts w:hint="eastAsia" w:ascii="仿宋_GB2312" w:hAnsi="仿宋_GB2312" w:eastAsia="仿宋_GB2312" w:cs="仿宋_GB2312"/>
          <w:b/>
          <w:bCs/>
          <w:color w:val="auto"/>
          <w:sz w:val="24"/>
          <w:lang w:eastAsia="zh-CN"/>
        </w:rPr>
        <w:t>注</w:t>
      </w:r>
      <w:r>
        <w:rPr>
          <w:rFonts w:hint="eastAsia" w:ascii="仿宋_GB2312" w:hAnsi="仿宋_GB2312" w:eastAsia="仿宋_GB2312" w:cs="仿宋_GB2312"/>
          <w:color w:val="auto"/>
          <w:sz w:val="24"/>
          <w:lang w:eastAsia="zh-CN"/>
        </w:rPr>
        <w:t>：</w:t>
      </w:r>
    </w:p>
    <w:p>
      <w:pPr>
        <w:numPr>
          <w:ilvl w:val="-1"/>
          <w:numId w:val="0"/>
        </w:numPr>
        <w:spacing w:line="360" w:lineRule="auto"/>
        <w:jc w:val="both"/>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1、</w:t>
      </w:r>
      <w:r>
        <w:rPr>
          <w:rFonts w:hint="eastAsia" w:ascii="仿宋_GB2312" w:hAnsi="仿宋_GB2312" w:eastAsia="仿宋_GB2312" w:cs="仿宋_GB2312"/>
          <w:b/>
          <w:bCs w:val="0"/>
          <w:color w:val="C00000"/>
          <w:sz w:val="24"/>
          <w:highlight w:val="none"/>
          <w:lang w:eastAsia="zh-CN"/>
        </w:rPr>
        <w:t>综合含税总报价中包含安全文明施工费</w:t>
      </w:r>
      <w:r>
        <w:rPr>
          <w:rFonts w:hint="eastAsia" w:ascii="仿宋_GB2312" w:hAnsi="仿宋_GB2312" w:eastAsia="仿宋_GB2312" w:cs="仿宋_GB2312"/>
          <w:b/>
          <w:bCs w:val="0"/>
          <w:color w:val="C00000"/>
          <w:sz w:val="24"/>
          <w:highlight w:val="none"/>
          <w:lang w:val="en-US" w:eastAsia="zh-CN"/>
        </w:rPr>
        <w:t>（</w:t>
      </w:r>
      <w:r>
        <w:rPr>
          <w:rFonts w:hint="eastAsia" w:ascii="仿宋_GB2312" w:hAnsi="仿宋_GB2312" w:eastAsia="仿宋_GB2312" w:cs="仿宋_GB2312"/>
          <w:b/>
          <w:bCs w:val="0"/>
          <w:color w:val="C00000"/>
          <w:sz w:val="24"/>
          <w:highlight w:val="none"/>
        </w:rPr>
        <w:t>该费用为固定价，为</w:t>
      </w:r>
      <w:r>
        <w:rPr>
          <w:rFonts w:hint="eastAsia" w:ascii="仿宋_GB2312" w:hAnsi="仿宋_GB2312" w:eastAsia="仿宋_GB2312" w:cs="仿宋_GB2312"/>
          <w:b/>
          <w:bCs w:val="0"/>
          <w:color w:val="C00000"/>
          <w:sz w:val="24"/>
          <w:highlight w:val="none"/>
          <w:lang w:eastAsia="zh-CN"/>
        </w:rPr>
        <w:t>综合</w:t>
      </w:r>
      <w:r>
        <w:rPr>
          <w:rFonts w:hint="eastAsia" w:ascii="仿宋_GB2312" w:hAnsi="仿宋_GB2312" w:eastAsia="仿宋_GB2312" w:cs="仿宋_GB2312"/>
          <w:b/>
          <w:bCs w:val="0"/>
          <w:color w:val="C00000"/>
          <w:sz w:val="24"/>
          <w:highlight w:val="none"/>
        </w:rPr>
        <w:t>含税</w:t>
      </w:r>
      <w:r>
        <w:rPr>
          <w:rFonts w:hint="eastAsia" w:ascii="仿宋_GB2312" w:hAnsi="仿宋_GB2312" w:eastAsia="仿宋_GB2312" w:cs="仿宋_GB2312"/>
          <w:b/>
          <w:bCs w:val="0"/>
          <w:color w:val="C00000"/>
          <w:sz w:val="24"/>
          <w:highlight w:val="none"/>
          <w:lang w:eastAsia="zh-CN"/>
        </w:rPr>
        <w:t>总</w:t>
      </w:r>
      <w:r>
        <w:rPr>
          <w:rFonts w:hint="eastAsia" w:ascii="仿宋_GB2312" w:hAnsi="仿宋_GB2312" w:eastAsia="仿宋_GB2312" w:cs="仿宋_GB2312"/>
          <w:b/>
          <w:bCs w:val="0"/>
          <w:color w:val="C00000"/>
          <w:sz w:val="24"/>
          <w:highlight w:val="none"/>
        </w:rPr>
        <w:t>报价的2</w:t>
      </w:r>
      <w:r>
        <w:rPr>
          <w:rFonts w:hint="eastAsia" w:ascii="仿宋_GB2312" w:hAnsi="仿宋_GB2312" w:eastAsia="仿宋_GB2312" w:cs="仿宋_GB2312"/>
          <w:b/>
          <w:bCs w:val="0"/>
          <w:color w:val="C00000"/>
          <w:sz w:val="24"/>
          <w:highlight w:val="none"/>
          <w:lang w:val="en-US" w:eastAsia="zh-CN"/>
        </w:rPr>
        <w:t>.5</w:t>
      </w:r>
      <w:r>
        <w:rPr>
          <w:rFonts w:hint="eastAsia" w:ascii="仿宋_GB2312" w:hAnsi="仿宋_GB2312" w:eastAsia="仿宋_GB2312" w:cs="仿宋_GB2312"/>
          <w:b/>
          <w:bCs w:val="0"/>
          <w:color w:val="C00000"/>
          <w:sz w:val="24"/>
          <w:highlight w:val="none"/>
        </w:rPr>
        <w:t>%</w:t>
      </w:r>
      <w:r>
        <w:rPr>
          <w:rFonts w:hint="eastAsia" w:ascii="仿宋_GB2312" w:hAnsi="仿宋_GB2312" w:eastAsia="仿宋_GB2312" w:cs="仿宋_GB2312"/>
          <w:b/>
          <w:bCs w:val="0"/>
          <w:color w:val="C00000"/>
          <w:sz w:val="24"/>
          <w:highlight w:val="none"/>
          <w:lang w:eastAsia="zh-CN"/>
        </w:rPr>
        <w:t>）</w:t>
      </w:r>
      <w:r>
        <w:rPr>
          <w:rFonts w:hint="eastAsia" w:ascii="仿宋_GB2312" w:hAnsi="仿宋_GB2312" w:eastAsia="仿宋_GB2312" w:cs="仿宋_GB2312"/>
          <w:b/>
          <w:bCs w:val="0"/>
          <w:color w:val="C00000"/>
          <w:sz w:val="24"/>
          <w:highlight w:val="none"/>
          <w:lang w:val="en-US" w:eastAsia="zh-CN"/>
        </w:rPr>
        <w:t>，</w:t>
      </w:r>
      <w:r>
        <w:rPr>
          <w:rFonts w:hint="eastAsia" w:ascii="仿宋_GB2312" w:hAnsi="仿宋_GB2312" w:eastAsia="仿宋_GB2312" w:cs="仿宋_GB2312"/>
          <w:sz w:val="24"/>
          <w:lang w:eastAsia="zh-CN"/>
        </w:rPr>
        <w:t>合同履行期间，乙方应按照此项报价足额投入安全文明施工费。</w:t>
      </w:r>
    </w:p>
    <w:p>
      <w:pPr>
        <w:keepNext w:val="0"/>
        <w:keepLines w:val="0"/>
        <w:pageBreakBefore w:val="0"/>
        <w:widowControl w:val="0"/>
        <w:numPr>
          <w:ilvl w:val="-1"/>
          <w:numId w:val="0"/>
        </w:numPr>
        <w:kinsoku/>
        <w:wordWrap/>
        <w:overflowPunct/>
        <w:topLinePunct w:val="0"/>
        <w:autoSpaceDE/>
        <w:autoSpaceDN/>
        <w:bidi w:val="0"/>
        <w:snapToGrid/>
        <w:spacing w:line="360" w:lineRule="auto"/>
        <w:jc w:val="both"/>
        <w:rPr>
          <w:rFonts w:hint="eastAsia" w:ascii="仿宋_GB2312" w:hAnsi="仿宋_GB2312" w:eastAsia="仿宋_GB2312" w:cs="仿宋_GB2312"/>
          <w:sz w:val="24"/>
          <w:lang w:eastAsia="zh-CN"/>
        </w:rPr>
      </w:pPr>
      <w:r>
        <w:rPr>
          <w:rFonts w:hint="eastAsia" w:ascii="仿宋_GB2312" w:hAnsi="仿宋_GB2312" w:eastAsia="仿宋_GB2312" w:cs="仿宋_GB2312"/>
          <w:b w:val="0"/>
          <w:bCs w:val="0"/>
          <w:sz w:val="24"/>
          <w:lang w:val="en-US" w:eastAsia="zh-CN"/>
        </w:rPr>
        <w:t>2、</w:t>
      </w:r>
      <w:r>
        <w:rPr>
          <w:rFonts w:hint="eastAsia" w:ascii="仿宋_GB2312" w:hAnsi="仿宋_GB2312" w:eastAsia="仿宋_GB2312" w:cs="仿宋_GB2312"/>
          <w:b w:val="0"/>
          <w:bCs w:val="0"/>
          <w:sz w:val="24"/>
          <w:lang w:eastAsia="zh-CN"/>
        </w:rPr>
        <w:t>报价有效期为报价截止之日起</w:t>
      </w:r>
      <w:r>
        <w:rPr>
          <w:rFonts w:hint="eastAsia" w:ascii="仿宋_GB2312" w:hAnsi="仿宋_GB2312" w:eastAsia="仿宋_GB2312" w:cs="仿宋_GB2312"/>
          <w:b w:val="0"/>
          <w:bCs w:val="0"/>
          <w:sz w:val="24"/>
          <w:lang w:val="en-US" w:eastAsia="zh-CN"/>
        </w:rPr>
        <w:t>90天（到期日为周末或法定节假日的，顺延至下一个工作日）。</w:t>
      </w:r>
    </w:p>
    <w:p>
      <w:pPr>
        <w:keepNext w:val="0"/>
        <w:keepLines w:val="0"/>
        <w:pageBreakBefore w:val="0"/>
        <w:widowControl w:val="0"/>
        <w:numPr>
          <w:ilvl w:val="-1"/>
          <w:numId w:val="0"/>
        </w:numPr>
        <w:kinsoku/>
        <w:wordWrap/>
        <w:overflowPunct/>
        <w:topLinePunct w:val="0"/>
        <w:autoSpaceDE/>
        <w:autoSpaceDN/>
        <w:bidi w:val="0"/>
        <w:snapToGrid/>
        <w:spacing w:line="360" w:lineRule="auto"/>
        <w:jc w:val="both"/>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3、本</w:t>
      </w:r>
      <w:r>
        <w:rPr>
          <w:rFonts w:hint="eastAsia" w:ascii="仿宋_GB2312" w:hAnsi="仿宋_GB2312" w:eastAsia="仿宋_GB2312" w:cs="仿宋_GB2312"/>
          <w:sz w:val="24"/>
        </w:rPr>
        <w:t>项目工作范围同技术</w:t>
      </w:r>
      <w:r>
        <w:rPr>
          <w:rFonts w:hint="eastAsia" w:ascii="仿宋_GB2312" w:hAnsi="仿宋_GB2312" w:eastAsia="仿宋_GB2312" w:cs="仿宋_GB2312"/>
          <w:sz w:val="24"/>
          <w:lang w:eastAsia="zh-CN"/>
        </w:rPr>
        <w:t>规范书</w:t>
      </w:r>
      <w:r>
        <w:rPr>
          <w:rFonts w:hint="eastAsia" w:ascii="仿宋_GB2312" w:hAnsi="仿宋_GB2312" w:eastAsia="仿宋_GB2312" w:cs="仿宋_GB2312"/>
          <w:sz w:val="24"/>
        </w:rPr>
        <w:t>。</w:t>
      </w:r>
    </w:p>
    <w:p>
      <w:pPr>
        <w:keepNext w:val="0"/>
        <w:keepLines w:val="0"/>
        <w:pageBreakBefore w:val="0"/>
        <w:widowControl w:val="0"/>
        <w:numPr>
          <w:ilvl w:val="0"/>
          <w:numId w:val="0"/>
        </w:numPr>
        <w:kinsoku/>
        <w:wordWrap/>
        <w:overflowPunct/>
        <w:topLinePunct w:val="0"/>
        <w:autoSpaceDE/>
        <w:autoSpaceDN/>
        <w:bidi w:val="0"/>
        <w:snapToGrid/>
        <w:spacing w:line="360" w:lineRule="auto"/>
        <w:jc w:val="both"/>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lang w:val="en-US" w:eastAsia="zh-CN"/>
        </w:rPr>
        <w:t>4、法定代表人亲自报价的，应提供法定代表人身份证明，非报价单位法定代表人亲自报价的，应提供授权委托书（经法定代表人签字并加盖公司公章，授权范围应至少包括报价、谈判、签订合同）。</w:t>
      </w:r>
    </w:p>
    <w:p>
      <w:pPr>
        <w:pStyle w:val="8"/>
        <w:keepNext w:val="0"/>
        <w:keepLines w:val="0"/>
        <w:pageBreakBefore w:val="0"/>
        <w:widowControl w:val="0"/>
        <w:kinsoku/>
        <w:wordWrap/>
        <w:overflowPunct/>
        <w:topLinePunct w:val="0"/>
        <w:autoSpaceDE/>
        <w:autoSpaceDN/>
        <w:bidi w:val="0"/>
        <w:snapToGrid/>
        <w:spacing w:line="360" w:lineRule="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lang w:val="en-US" w:eastAsia="zh-CN"/>
        </w:rPr>
        <w:t>5、本报价单标注的实质性条款为项目合同的主要条款，若中选，报价人不得要求对实质性条款作出实质性修改，否则川南发电公司有权取消其中选资格。</w:t>
      </w:r>
    </w:p>
    <w:p>
      <w:pPr>
        <w:pStyle w:val="8"/>
        <w:keepNext w:val="0"/>
        <w:keepLines w:val="0"/>
        <w:pageBreakBefore w:val="0"/>
        <w:widowControl w:val="0"/>
        <w:kinsoku/>
        <w:wordWrap/>
        <w:overflowPunct/>
        <w:topLinePunct w:val="0"/>
        <w:autoSpaceDE/>
        <w:autoSpaceDN/>
        <w:bidi w:val="0"/>
        <w:snapToGrid/>
        <w:spacing w:line="360" w:lineRule="auto"/>
        <w:rPr>
          <w:rFonts w:hint="eastAsia" w:ascii="仿宋_GB2312" w:hAnsi="仿宋_GB2312" w:eastAsia="仿宋_GB2312" w:cs="仿宋_GB2312"/>
          <w:kern w:val="2"/>
          <w:sz w:val="24"/>
          <w:szCs w:val="24"/>
          <w:lang w:val="en-US" w:eastAsia="zh-CN"/>
        </w:rPr>
      </w:pPr>
      <w:r>
        <w:rPr>
          <w:rFonts w:hint="eastAsia" w:ascii="仿宋_GB2312" w:hAnsi="仿宋_GB2312" w:eastAsia="仿宋_GB2312" w:cs="仿宋_GB2312"/>
          <w:kern w:val="2"/>
          <w:sz w:val="24"/>
          <w:szCs w:val="24"/>
          <w:lang w:val="en-US" w:eastAsia="zh-CN"/>
        </w:rPr>
        <w:t>6、</w:t>
      </w:r>
      <w:r>
        <w:rPr>
          <w:rFonts w:hint="eastAsia" w:ascii="仿宋_GB2312" w:hAnsi="仿宋_GB2312" w:eastAsia="仿宋_GB2312" w:cs="仿宋_GB2312"/>
          <w:sz w:val="24"/>
          <w:lang w:val="en-US" w:eastAsia="zh-CN"/>
        </w:rPr>
        <w:t>报价人未按要求比例填报安全文明施工费的，应在谈判中进行调整，经谈判仍不调整的，川南发电公司有权废除其报价资格。</w:t>
      </w:r>
    </w:p>
    <w:p>
      <w:pPr>
        <w:jc w:val="both"/>
        <w:rPr>
          <w:rFonts w:hint="eastAsia" w:ascii="仿宋_GB2312" w:hAnsi="仿宋_GB2312" w:eastAsia="仿宋_GB2312" w:cs="仿宋_GB2312"/>
          <w:sz w:val="24"/>
          <w:lang w:eastAsia="zh-CN"/>
        </w:rPr>
      </w:pPr>
    </w:p>
    <w:p>
      <w:pPr>
        <w:rPr>
          <w:rFonts w:hint="eastAsia" w:ascii="仿宋_GB2312" w:hAnsi="仿宋_GB2312" w:eastAsia="仿宋_GB2312" w:cs="仿宋_GB2312"/>
          <w:sz w:val="24"/>
          <w:lang w:val="en-US" w:eastAsia="zh-CN"/>
        </w:rPr>
      </w:pPr>
      <w:r>
        <w:rPr>
          <w:rFonts w:hint="eastAsia" w:ascii="仿宋_GB2312" w:hAnsi="仿宋_GB2312" w:eastAsia="仿宋_GB2312" w:cs="仿宋_GB2312"/>
          <w:b/>
          <w:bCs/>
          <w:sz w:val="24"/>
          <w:lang w:val="en-US" w:eastAsia="zh-CN"/>
        </w:rPr>
        <w:t>脱硫系统附属设施专项治理报价明细表（所有单价均含税）</w:t>
      </w:r>
      <w:r>
        <w:rPr>
          <w:rFonts w:hint="eastAsia" w:ascii="仿宋_GB2312" w:hAnsi="仿宋_GB2312" w:eastAsia="仿宋_GB2312" w:cs="仿宋_GB2312"/>
          <w:sz w:val="24"/>
          <w:lang w:val="en-US" w:eastAsia="zh-CN"/>
        </w:rPr>
        <w:t>：</w:t>
      </w:r>
    </w:p>
    <w:tbl>
      <w:tblPr>
        <w:tblStyle w:val="6"/>
        <w:tblW w:w="97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489"/>
        <w:gridCol w:w="1002"/>
        <w:gridCol w:w="1493"/>
        <w:gridCol w:w="1936"/>
        <w:gridCol w:w="1672"/>
        <w:gridCol w:w="791"/>
        <w:gridCol w:w="723"/>
        <w:gridCol w:w="736"/>
        <w:gridCol w:w="9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5" w:hRule="atLeast"/>
          <w:tblHeader/>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序号</w:t>
            </w:r>
          </w:p>
        </w:tc>
        <w:tc>
          <w:tcPr>
            <w:tcW w:w="4431"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具体区域</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项目</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工程量</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单位</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单价</w:t>
            </w: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合价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1</w:t>
            </w:r>
          </w:p>
        </w:tc>
        <w:tc>
          <w:tcPr>
            <w:tcW w:w="1002"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#1脱硫吸收塔</w:t>
            </w:r>
          </w:p>
        </w:tc>
        <w:tc>
          <w:tcPr>
            <w:tcW w:w="1493"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给浆操作平台（含）至吸收塔标高40.5m扶梯平台</w:t>
            </w:r>
          </w:p>
        </w:tc>
        <w:tc>
          <w:tcPr>
            <w:tcW w:w="1936"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25</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eastAsia="zh-CN"/>
              </w:rPr>
            </w:pPr>
            <w:r>
              <w:rPr>
                <w:rFonts w:hint="eastAsia" w:ascii="仿宋_GB2312" w:hAnsi="仿宋_GB2312" w:eastAsia="仿宋_GB2312" w:cs="仿宋_GB2312"/>
                <w:i w:val="0"/>
                <w:color w:val="000000"/>
                <w:sz w:val="24"/>
                <w:szCs w:val="24"/>
                <w:u w:val="none"/>
                <w:lang w:eastAsia="zh-CN"/>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踏步板280*800mm</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块</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踏步板200*800mm</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块</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需更换φ32栏杆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φ25栏杆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#10踢脚板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7</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Z字扶梯至给浆平台天桥</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标高16.6m平台</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2.8</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eastAsia="zh-CN"/>
              </w:rPr>
            </w:pPr>
            <w:r>
              <w:rPr>
                <w:rFonts w:hint="eastAsia" w:ascii="仿宋_GB2312" w:hAnsi="仿宋_GB2312" w:eastAsia="仿宋_GB2312" w:cs="仿宋_GB2312"/>
                <w:i w:val="0"/>
                <w:color w:val="000000"/>
                <w:sz w:val="24"/>
                <w:szCs w:val="24"/>
                <w:u w:val="none"/>
                <w:lang w:eastAsia="zh-CN"/>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需更换#16槽钢</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9</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φ32栏杆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10</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φ25栏杆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11</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Z字扶梯至托盘层人孔天桥</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标高19.5m平台</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2.8</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sz w:val="24"/>
                <w:szCs w:val="24"/>
                <w:u w:val="none"/>
                <w:lang w:eastAsia="zh-CN"/>
              </w:rPr>
            </w:pPr>
            <w:r>
              <w:rPr>
                <w:rFonts w:hint="eastAsia" w:ascii="仿宋_GB2312" w:hAnsi="仿宋_GB2312" w:eastAsia="仿宋_GB2312" w:cs="仿宋_GB2312"/>
                <w:i w:val="0"/>
                <w:color w:val="000000"/>
                <w:sz w:val="24"/>
                <w:szCs w:val="24"/>
                <w:u w:val="none"/>
                <w:lang w:eastAsia="zh-CN"/>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12</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需更换#16槽钢</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13</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φ32栏杆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14</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φ25栏杆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15</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靠锅炉侧GGH平台至一级塔</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氧化风支管冲洗水平台天桥</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3.6</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eastAsia="zh-CN"/>
              </w:rPr>
            </w:pPr>
            <w:r>
              <w:rPr>
                <w:rFonts w:hint="eastAsia" w:ascii="仿宋_GB2312" w:hAnsi="仿宋_GB2312" w:eastAsia="仿宋_GB2312" w:cs="仿宋_GB2312"/>
                <w:i w:val="0"/>
                <w:color w:val="000000"/>
                <w:sz w:val="24"/>
                <w:szCs w:val="24"/>
                <w:u w:val="none"/>
                <w:lang w:eastAsia="zh-CN"/>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16</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需更换#16槽钢</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17</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氧化风支管冲洗水平台</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18</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需更换#10槽钢</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19</w:t>
            </w:r>
          </w:p>
        </w:tc>
        <w:tc>
          <w:tcPr>
            <w:tcW w:w="1002"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#1脱硫原烟道</w:t>
            </w:r>
          </w:p>
        </w:tc>
        <w:tc>
          <w:tcPr>
            <w:tcW w:w="1493"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A、B侧13.2m至23.3m扶梯平台</w:t>
            </w:r>
          </w:p>
        </w:tc>
        <w:tc>
          <w:tcPr>
            <w:tcW w:w="1936"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20</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踏步板200*800mm </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块</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21</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需更换φ32栏杆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22</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φ25栏杆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23</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#10踢脚板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24</w:t>
            </w:r>
          </w:p>
        </w:tc>
        <w:tc>
          <w:tcPr>
            <w:tcW w:w="1002"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#1脱硫净烟道</w:t>
            </w:r>
          </w:p>
        </w:tc>
        <w:tc>
          <w:tcPr>
            <w:tcW w:w="1493"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A、B侧13.2m至23.3m扶梯平台</w:t>
            </w:r>
          </w:p>
        </w:tc>
        <w:tc>
          <w:tcPr>
            <w:tcW w:w="1936"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25</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踏步板200*800mm </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块</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26</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需更换φ32栏杆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27</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φ25栏杆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28</w:t>
            </w:r>
          </w:p>
        </w:tc>
        <w:tc>
          <w:tcPr>
            <w:tcW w:w="1002"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#2脱硫吸收塔</w:t>
            </w:r>
          </w:p>
        </w:tc>
        <w:tc>
          <w:tcPr>
            <w:tcW w:w="1493"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靠锅炉侧GGH平台至一级塔</w:t>
            </w:r>
            <w:r>
              <w:rPr>
                <w:rFonts w:hint="eastAsia" w:ascii="仿宋_GB2312" w:hAnsi="仿宋_GB2312" w:eastAsia="仿宋_GB2312" w:cs="仿宋_GB2312"/>
                <w:i w:val="0"/>
                <w:color w:val="000000"/>
                <w:kern w:val="0"/>
                <w:sz w:val="24"/>
                <w:szCs w:val="24"/>
                <w:u w:val="none"/>
                <w:lang w:val="en-US" w:eastAsia="zh-CN" w:bidi="ar"/>
              </w:rPr>
              <w:br w:type="textWrapping"/>
            </w:r>
            <w:r>
              <w:rPr>
                <w:rFonts w:hint="eastAsia" w:ascii="仿宋_GB2312" w:hAnsi="仿宋_GB2312" w:eastAsia="仿宋_GB2312" w:cs="仿宋_GB2312"/>
                <w:i w:val="0"/>
                <w:color w:val="000000"/>
                <w:kern w:val="0"/>
                <w:sz w:val="24"/>
                <w:szCs w:val="24"/>
                <w:u w:val="none"/>
                <w:lang w:val="en-US" w:eastAsia="zh-CN" w:bidi="ar"/>
              </w:rPr>
              <w:t>氧化风支管冲洗水平台天桥</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3.6</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kern w:val="0"/>
                <w:sz w:val="24"/>
                <w:szCs w:val="24"/>
                <w:u w:val="none"/>
                <w:lang w:val="en-US" w:eastAsia="zh-CN" w:bidi="ar"/>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29</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需更换#16槽钢</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15</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30</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氧化风支管冲洗水平台</w:t>
            </w:r>
          </w:p>
        </w:tc>
        <w:tc>
          <w:tcPr>
            <w:tcW w:w="1936"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723"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w:t>
            </w:r>
          </w:p>
        </w:tc>
        <w:tc>
          <w:tcPr>
            <w:tcW w:w="736" w:type="dxa"/>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31</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仿宋_GB2312" w:hAnsi="仿宋_GB2312" w:eastAsia="仿宋_GB2312" w:cs="仿宋_GB2312"/>
                <w:i w:val="0"/>
                <w:color w:val="000000"/>
                <w:sz w:val="24"/>
                <w:szCs w:val="24"/>
                <w:u w:val="none"/>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需更换#10槽钢</w:t>
            </w:r>
          </w:p>
        </w:tc>
        <w:tc>
          <w:tcPr>
            <w:tcW w:w="791"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10</w:t>
            </w:r>
          </w:p>
        </w:tc>
        <w:tc>
          <w:tcPr>
            <w:tcW w:w="723"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32</w:t>
            </w:r>
          </w:p>
        </w:tc>
        <w:tc>
          <w:tcPr>
            <w:tcW w:w="1002"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#2脱硫原烟道</w:t>
            </w:r>
          </w:p>
        </w:tc>
        <w:tc>
          <w:tcPr>
            <w:tcW w:w="1493"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A、B侧13.2m至23.3m扶梯平台及顶部平台延伸4m</w:t>
            </w:r>
          </w:p>
        </w:tc>
        <w:tc>
          <w:tcPr>
            <w:tcW w:w="1936"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33</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踏步板200*800mm </w:t>
            </w:r>
          </w:p>
        </w:tc>
        <w:tc>
          <w:tcPr>
            <w:tcW w:w="791"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块</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34</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需更换φ32栏杆</w:t>
            </w:r>
          </w:p>
        </w:tc>
        <w:tc>
          <w:tcPr>
            <w:tcW w:w="791"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0"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35</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φ25栏杆</w:t>
            </w:r>
          </w:p>
        </w:tc>
        <w:tc>
          <w:tcPr>
            <w:tcW w:w="791"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36</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#10踢脚板</w:t>
            </w:r>
          </w:p>
        </w:tc>
        <w:tc>
          <w:tcPr>
            <w:tcW w:w="791"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37</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#16槽钢</w:t>
            </w:r>
          </w:p>
        </w:tc>
        <w:tc>
          <w:tcPr>
            <w:tcW w:w="791"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38</w:t>
            </w:r>
          </w:p>
        </w:tc>
        <w:tc>
          <w:tcPr>
            <w:tcW w:w="1002"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#2脱硫净烟道</w:t>
            </w:r>
          </w:p>
        </w:tc>
        <w:tc>
          <w:tcPr>
            <w:tcW w:w="1493"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sz w:val="24"/>
                <w:szCs w:val="24"/>
                <w:u w:val="none"/>
              </w:rPr>
            </w:pPr>
            <w:r>
              <w:rPr>
                <w:rFonts w:hint="eastAsia" w:ascii="仿宋_GB2312" w:hAnsi="仿宋_GB2312" w:eastAsia="仿宋_GB2312" w:cs="仿宋_GB2312"/>
                <w:b w:val="0"/>
                <w:bCs w:val="0"/>
                <w:i w:val="0"/>
                <w:color w:val="000000"/>
                <w:kern w:val="0"/>
                <w:sz w:val="24"/>
                <w:szCs w:val="24"/>
                <w:u w:val="none"/>
                <w:lang w:val="en-US" w:eastAsia="zh-CN" w:bidi="ar"/>
              </w:rPr>
              <w:t>A、B侧13.2m至23.3m扶梯平台及顶部平台延伸4m</w:t>
            </w:r>
          </w:p>
        </w:tc>
        <w:tc>
          <w:tcPr>
            <w:tcW w:w="1936" w:type="dxa"/>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39</w:t>
            </w:r>
          </w:p>
        </w:tc>
        <w:tc>
          <w:tcPr>
            <w:tcW w:w="1002"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ind w:firstLine="437" w:firstLineChars="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 xml:space="preserve">踏步板200*800mm </w:t>
            </w:r>
          </w:p>
        </w:tc>
        <w:tc>
          <w:tcPr>
            <w:tcW w:w="791" w:type="dxa"/>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块</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40</w:t>
            </w:r>
          </w:p>
        </w:tc>
        <w:tc>
          <w:tcPr>
            <w:tcW w:w="100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936"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需更换φ32栏杆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41</w:t>
            </w:r>
          </w:p>
        </w:tc>
        <w:tc>
          <w:tcPr>
            <w:tcW w:w="100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φ25栏杆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42</w:t>
            </w:r>
          </w:p>
        </w:tc>
        <w:tc>
          <w:tcPr>
            <w:tcW w:w="100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#10踢脚板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43</w:t>
            </w:r>
          </w:p>
        </w:tc>
        <w:tc>
          <w:tcPr>
            <w:tcW w:w="1002"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493" w:type="dxa"/>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b w:val="0"/>
                <w:bCs w:val="0"/>
                <w:i w:val="0"/>
                <w:color w:val="000000"/>
                <w:kern w:val="0"/>
                <w:sz w:val="24"/>
                <w:szCs w:val="24"/>
                <w:u w:val="none"/>
                <w:lang w:val="en-US" w:eastAsia="zh-CN" w:bidi="ar"/>
              </w:rPr>
            </w:pPr>
          </w:p>
        </w:tc>
        <w:tc>
          <w:tcPr>
            <w:tcW w:w="1936" w:type="dxa"/>
            <w:vMerge w:val="continue"/>
            <w:tcBorders>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#16槽钢</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18</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44</w:t>
            </w:r>
          </w:p>
        </w:tc>
        <w:tc>
          <w:tcPr>
            <w:tcW w:w="2495" w:type="dxa"/>
            <w:gridSpan w:val="2"/>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#3、#4石膏旋流站操作平台</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需更换树脂格栅板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30</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val="en-US"/>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45</w:t>
            </w:r>
          </w:p>
        </w:tc>
        <w:tc>
          <w:tcPr>
            <w:tcW w:w="2495"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需更换φ32栏杆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12</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46</w:t>
            </w:r>
          </w:p>
        </w:tc>
        <w:tc>
          <w:tcPr>
            <w:tcW w:w="2495"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φ25栏杆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24</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47</w:t>
            </w:r>
          </w:p>
        </w:tc>
        <w:tc>
          <w:tcPr>
            <w:tcW w:w="2495"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#10踢脚板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48</w:t>
            </w:r>
          </w:p>
        </w:tc>
        <w:tc>
          <w:tcPr>
            <w:tcW w:w="2495"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#16槽钢</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24</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49</w:t>
            </w:r>
          </w:p>
        </w:tc>
        <w:tc>
          <w:tcPr>
            <w:tcW w:w="249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脱硫综合管架操作平台</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25</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50</w:t>
            </w:r>
          </w:p>
        </w:tc>
        <w:tc>
          <w:tcPr>
            <w:tcW w:w="2495" w:type="dxa"/>
            <w:gridSpan w:val="2"/>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#3、#4斗提机顶部减速机平台</w:t>
            </w: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18</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51</w:t>
            </w:r>
          </w:p>
        </w:tc>
        <w:tc>
          <w:tcPr>
            <w:tcW w:w="2495"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需更换#16槽钢</w:t>
            </w:r>
          </w:p>
        </w:tc>
        <w:tc>
          <w:tcPr>
            <w:tcW w:w="791"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42</w:t>
            </w:r>
          </w:p>
        </w:tc>
        <w:tc>
          <w:tcPr>
            <w:tcW w:w="72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52</w:t>
            </w:r>
          </w:p>
        </w:tc>
        <w:tc>
          <w:tcPr>
            <w:tcW w:w="2495" w:type="dxa"/>
            <w:gridSpan w:val="2"/>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#1、#2斗提机顶部平台</w:t>
            </w:r>
          </w:p>
        </w:tc>
        <w:tc>
          <w:tcPr>
            <w:tcW w:w="1936"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需更换φ32栏杆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12</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53</w:t>
            </w:r>
          </w:p>
        </w:tc>
        <w:tc>
          <w:tcPr>
            <w:tcW w:w="2495" w:type="dxa"/>
            <w:gridSpan w:val="2"/>
            <w:vMerge w:val="continue"/>
            <w:tcBorders>
              <w:left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vMerge w:val="continue"/>
            <w:tcBorders>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φ25栏杆</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24</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sz w:val="24"/>
                <w:szCs w:val="24"/>
                <w:u w:val="none"/>
                <w:lang w:val="en-US" w:eastAsia="zh-CN"/>
              </w:rPr>
            </w:pPr>
            <w:r>
              <w:rPr>
                <w:rFonts w:hint="eastAsia" w:ascii="仿宋_GB2312" w:hAnsi="仿宋_GB2312" w:eastAsia="仿宋_GB2312" w:cs="仿宋_GB2312"/>
                <w:i w:val="0"/>
                <w:color w:val="000000"/>
                <w:sz w:val="24"/>
                <w:szCs w:val="24"/>
                <w:u w:val="none"/>
                <w:lang w:val="en-US" w:eastAsia="zh-CN"/>
              </w:rPr>
              <w:t>54</w:t>
            </w:r>
          </w:p>
        </w:tc>
        <w:tc>
          <w:tcPr>
            <w:tcW w:w="2495" w:type="dxa"/>
            <w:gridSpan w:val="2"/>
            <w:vMerge w:val="restart"/>
            <w:tcBorders>
              <w:top w:val="single" w:color="000000" w:sz="4" w:space="0"/>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#1、#2斗提机顶部减速机平台</w:t>
            </w: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钢制热侵镀锌格栅板、踏步板（除特殊说明外）</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需更换钢格栅板</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18</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55</w:t>
            </w:r>
          </w:p>
        </w:tc>
        <w:tc>
          <w:tcPr>
            <w:tcW w:w="2495" w:type="dxa"/>
            <w:gridSpan w:val="2"/>
            <w:vMerge w:val="continue"/>
            <w:tcBorders>
              <w:left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19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栏杆、扁钢、槽钢</w:t>
            </w:r>
          </w:p>
        </w:tc>
        <w:tc>
          <w:tcPr>
            <w:tcW w:w="1672"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需更换#16槽钢</w:t>
            </w:r>
          </w:p>
        </w:tc>
        <w:tc>
          <w:tcPr>
            <w:tcW w:w="79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42</w:t>
            </w:r>
          </w:p>
        </w:tc>
        <w:tc>
          <w:tcPr>
            <w:tcW w:w="72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m</w:t>
            </w:r>
          </w:p>
        </w:tc>
        <w:tc>
          <w:tcPr>
            <w:tcW w:w="736"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8842" w:type="dxa"/>
            <w:gridSpan w:val="8"/>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b/>
                <w:bCs/>
                <w:i w:val="0"/>
                <w:color w:val="000000"/>
                <w:kern w:val="0"/>
                <w:sz w:val="24"/>
                <w:szCs w:val="24"/>
                <w:u w:val="none"/>
                <w:lang w:val="en-US" w:eastAsia="zh-CN" w:bidi="ar"/>
              </w:rPr>
              <w:t>合计（即报价表综合含税总报价）</w:t>
            </w:r>
          </w:p>
        </w:tc>
        <w:tc>
          <w:tcPr>
            <w:tcW w:w="903"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p>
        </w:tc>
      </w:tr>
    </w:tbl>
    <w:p>
      <w:pPr>
        <w:rPr>
          <w:rFonts w:hint="eastAsia" w:ascii="仿宋_GB2312" w:hAnsi="仿宋_GB2312" w:eastAsia="仿宋_GB2312" w:cs="仿宋_GB2312"/>
          <w:sz w:val="24"/>
          <w:lang w:val="en-US" w:eastAsia="zh-CN"/>
        </w:rPr>
      </w:pPr>
    </w:p>
    <w:p>
      <w:pPr>
        <w:numPr>
          <w:ilvl w:val="0"/>
          <w:numId w:val="1"/>
        </w:numPr>
        <w:spacing w:line="360" w:lineRule="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lang w:eastAsia="zh-CN"/>
        </w:rPr>
        <w:t>报价保证金</w:t>
      </w:r>
    </w:p>
    <w:p>
      <w:pPr>
        <w:pStyle w:val="4"/>
        <w:spacing w:line="360" w:lineRule="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报价保证金为¥0.5万元（伍仟元整），到账截止时间为2024年5月13日10:00，报价保证金应在到账截止时间前存入川南发电公司基本账户。</w:t>
      </w:r>
    </w:p>
    <w:p>
      <w:pPr>
        <w:pStyle w:val="4"/>
        <w:spacing w:line="360" w:lineRule="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 xml:space="preserve">户名:四川泸州川南发电有限责任公司 </w:t>
      </w:r>
      <w:bookmarkStart w:id="11" w:name="_GoBack"/>
      <w:bookmarkEnd w:id="11"/>
    </w:p>
    <w:p>
      <w:pPr>
        <w:pStyle w:val="4"/>
        <w:spacing w:line="360" w:lineRule="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开户银行：工行泸州江阳支行</w:t>
      </w:r>
    </w:p>
    <w:p>
      <w:pPr>
        <w:pStyle w:val="4"/>
        <w:spacing w:line="360" w:lineRule="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账号：2304343119122102403</w:t>
      </w:r>
    </w:p>
    <w:p>
      <w:pPr>
        <w:pStyle w:val="4"/>
        <w:spacing w:line="360" w:lineRule="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报价人须以自己的账户名义将报价保证金存入以上账户，非报价人账户存入的，其报价文件不被竞争性谈判人接受。</w:t>
      </w:r>
    </w:p>
    <w:p>
      <w:pPr>
        <w:pStyle w:val="4"/>
        <w:spacing w:line="360" w:lineRule="auto"/>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kern w:val="2"/>
          <w:sz w:val="24"/>
          <w:szCs w:val="24"/>
          <w:lang w:val="en-US" w:eastAsia="zh-CN" w:bidi="ar-SA"/>
        </w:rPr>
        <w:t>川南发电公司在与中选单位签订合同且履约保证金（或保函）已提交后30日内退还中选单位及未中选单位报价押金（无息）。中选单位不与川南发电公司签订书面合同或签订书面合同过程中对项目实质性条款提出变更的，川南发电公司有权按照项目评审排名选择与下一顺位报价人签订书面合同。</w:t>
      </w:r>
    </w:p>
    <w:p>
      <w:pPr>
        <w:pStyle w:val="4"/>
        <w:numPr>
          <w:ilvl w:val="0"/>
          <w:numId w:val="0"/>
        </w:numPr>
        <w:spacing w:line="360" w:lineRule="auto"/>
        <w:rPr>
          <w:rFonts w:hint="eastAsia" w:ascii="仿宋_GB2312" w:hAnsi="仿宋_GB2312" w:eastAsia="仿宋_GB2312" w:cs="仿宋_GB2312"/>
          <w:szCs w:val="24"/>
          <w:lang w:eastAsia="zh-CN"/>
        </w:rPr>
      </w:pPr>
      <w:r>
        <w:rPr>
          <w:rFonts w:hint="eastAsia" w:ascii="仿宋_GB2312" w:hAnsi="仿宋_GB2312" w:eastAsia="仿宋_GB2312" w:cs="仿宋_GB2312"/>
          <w:b/>
          <w:bCs/>
          <w:sz w:val="24"/>
          <w:szCs w:val="24"/>
          <w:lang w:eastAsia="zh-CN"/>
        </w:rPr>
        <w:t>二、</w:t>
      </w:r>
      <w:r>
        <w:rPr>
          <w:rFonts w:hint="eastAsia" w:ascii="仿宋_GB2312" w:hAnsi="仿宋_GB2312" w:eastAsia="仿宋_GB2312" w:cs="仿宋_GB2312"/>
          <w:b/>
          <w:bCs/>
          <w:sz w:val="24"/>
          <w:szCs w:val="24"/>
        </w:rPr>
        <w:t>项目说明</w:t>
      </w:r>
      <w:r>
        <w:rPr>
          <w:rFonts w:hint="eastAsia" w:ascii="仿宋_GB2312" w:hAnsi="仿宋_GB2312" w:eastAsia="仿宋_GB2312" w:cs="仿宋_GB2312"/>
          <w:b/>
          <w:bCs/>
          <w:sz w:val="24"/>
          <w:szCs w:val="24"/>
          <w:lang w:eastAsia="zh-CN"/>
        </w:rPr>
        <w:t>（实质性条款）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1.付款方式：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1.1本项目书面合同签订且履约保证金或保函缴纳后，乙方向甲方开具暂定合同含税金额的10%的收据后30日内，甲方向乙方支付相应金额的预付款（含项目的安全文明施工费）。</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1.2合同项目全部竣工验收合格，乙方向甲方移交竣工资料且归档，乙方办理竣工结算完毕，乙方向甲方提交付款申请单和合同结算金额100%的增值税专用发票后的30日内，甲方向乙方支付至合同结算金额的95％；</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【结算价=综合含税单价×实际施工工程量，其中实际施工工程量不超过</w:t>
      </w:r>
      <w:r>
        <w:rPr>
          <w:rFonts w:hint="eastAsia" w:ascii="仿宋_GB2312" w:hAnsi="仿宋_GB2312" w:eastAsia="仿宋_GB2312" w:cs="仿宋_GB2312"/>
          <w:b w:val="0"/>
          <w:bCs/>
          <w:color w:val="auto"/>
          <w:kern w:val="2"/>
          <w:sz w:val="24"/>
          <w:szCs w:val="24"/>
          <w:highlight w:val="none"/>
          <w:lang w:val="en-US" w:eastAsia="zh-CN" w:bidi="ar-SA"/>
        </w:rPr>
        <w:t>预计工程量，超出部分甲方不在本项目合同中进行结算，也不另行结算</w:t>
      </w:r>
      <w:r>
        <w:rPr>
          <w:rFonts w:hint="eastAsia" w:ascii="仿宋_GB2312" w:hAnsi="仿宋_GB2312" w:eastAsia="仿宋_GB2312" w:cs="仿宋_GB2312"/>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1.3合同结算金额的5％为质保金。质保期满一年（自项目竣工验收之日起算）并经甲方相关部门确认无质量问题、乙方向甲方提交付款申请单且出具收据后30日内，甲方向乙方支付剩余的质保金。</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1.4甲方向乙方支付相应价款时，有权扣除乙方被甲方考核的费用。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lang w:eastAsia="zh-CN"/>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本项目涉及到施工费、高空作业费、危废处置费、人工费、方案费、机具费、措施费、运输费、管理费、利润、保险费、安全生产费、职业病预防治费、风险费以及其他政策性文件规定的费用、进场费等完成本项目全部工作所需的全部费用均包含在“</w:t>
      </w:r>
      <w:r>
        <w:rPr>
          <w:rFonts w:hint="eastAsia" w:ascii="仿宋_GB2312" w:hAnsi="仿宋_GB2312" w:eastAsia="仿宋_GB2312" w:cs="仿宋_GB2312"/>
          <w:b w:val="0"/>
          <w:bCs/>
          <w:sz w:val="24"/>
          <w:lang w:eastAsia="zh-CN"/>
        </w:rPr>
        <w:t>综合含税总价</w:t>
      </w:r>
      <w:r>
        <w:rPr>
          <w:rFonts w:hint="eastAsia" w:ascii="仿宋_GB2312" w:hAnsi="仿宋_GB2312" w:eastAsia="仿宋_GB2312" w:cs="仿宋_GB2312"/>
          <w:sz w:val="24"/>
          <w:szCs w:val="24"/>
          <w:lang w:eastAsia="zh-CN"/>
        </w:rPr>
        <w:t>”金额里（除脚手架搭拆和材料，如：钢管、槽钢、圆钢、扁钢、格栅板等）。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eastAsia="zh-CN"/>
        </w:rPr>
        <w:t>乙方派驻甲方现场的所有人员的食宿由其自行解决，相关费用由乙方承担。</w:t>
      </w:r>
    </w:p>
    <w:p>
      <w:pPr>
        <w:adjustRightInd/>
        <w:spacing w:line="360" w:lineRule="auto"/>
        <w:ind w:firstLine="480" w:firstLineChars="200"/>
        <w:textAlignment w:val="auto"/>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lang w:eastAsia="zh-CN"/>
        </w:rPr>
        <w:t>乙方派驻甲方现场所有人员均身体健康，出现任何事宜，乙方将承担相应责任及后果。</w:t>
      </w:r>
    </w:p>
    <w:p>
      <w:pPr>
        <w:pStyle w:val="4"/>
        <w:ind w:left="0" w:leftChars="0" w:firstLine="0" w:firstLineChars="0"/>
        <w:rPr>
          <w:rFonts w:hint="eastAsia" w:ascii="仿宋_GB2312" w:hAnsi="仿宋_GB2312" w:eastAsia="仿宋_GB2312" w:cs="仿宋_GB2312"/>
          <w:b/>
          <w:bCs/>
          <w:kern w:val="2"/>
          <w:sz w:val="24"/>
          <w:szCs w:val="24"/>
          <w:lang w:val="en-US" w:eastAsia="zh-CN" w:bidi="ar-SA"/>
        </w:rPr>
      </w:pPr>
      <w:r>
        <w:rPr>
          <w:rFonts w:hint="eastAsia" w:ascii="仿宋_GB2312" w:hAnsi="仿宋_GB2312" w:eastAsia="仿宋_GB2312" w:cs="仿宋_GB2312"/>
          <w:b/>
          <w:bCs/>
          <w:kern w:val="2"/>
          <w:sz w:val="24"/>
          <w:szCs w:val="24"/>
          <w:lang w:val="en-US" w:eastAsia="zh-CN" w:bidi="ar-SA"/>
        </w:rPr>
        <w:t>三、履约保证金（实质性条款）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1.履约保证金额为中选人含税总报价的10%，合同签订后21日之内，乙方应将履约保证金转入甲方账户，未在21日之内提交履约金的考核工程款1000元。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合同项目全部竣工验收通过，乙方提交的退还履约保证金申请及相应金额收据通过甲方审核后30日内，甲方向乙方退还通过甲方审核的履约保证金（无息）；但如还存在合同争端，则履约保证金的有效期应延长到上述争端最终解决且所有理赔完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3.如果乙方未能履行或不完全履行合同并给甲方造成损失,那么履约保证金将作为对这一损失的补偿而支付给甲方，履约保证金不足以弥补甲方损失的，甲方有权就不足部分向乙方追偿。</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4.如果乙方未能履行合同并给甲方造成损失,那么履约保证金将作为对这一损失的补偿而支付给甲方。</w:t>
      </w:r>
    </w:p>
    <w:p>
      <w:pPr>
        <w:spacing w:line="360" w:lineRule="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四</w:t>
      </w:r>
      <w:r>
        <w:rPr>
          <w:rFonts w:hint="eastAsia" w:ascii="仿宋_GB2312" w:hAnsi="仿宋_GB2312" w:eastAsia="仿宋_GB2312" w:cs="仿宋_GB2312"/>
          <w:b/>
          <w:bCs/>
          <w:sz w:val="24"/>
          <w:szCs w:val="24"/>
        </w:rPr>
        <w:t>、项目要求</w:t>
      </w:r>
      <w:r>
        <w:rPr>
          <w:rFonts w:hint="eastAsia" w:ascii="仿宋_GB2312" w:hAnsi="仿宋_GB2312" w:eastAsia="仿宋_GB2312" w:cs="仿宋_GB2312"/>
          <w:b/>
          <w:bCs/>
          <w:sz w:val="24"/>
          <w:szCs w:val="24"/>
          <w:lang w:eastAsia="zh-CN"/>
        </w:rPr>
        <w:t>（实质性条款）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乙方进场时间以甲方提前通知为准，本项目应在2024年8月31日前（含当日）竣工并通过甲方验收。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2.工作范围及工作要求：详见技术规范书。</w:t>
      </w:r>
    </w:p>
    <w:p>
      <w:pPr>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3.施工人员要求：详见技术规范书。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乙方应知悉本项目存在的各种风险和甲方安全作业管理要求。对涉及电工作业、焊接与热切割作业、高处作业等特种作业的人员，应持有应急管理部门所发的《特种作业操作证》，对涉及特种设备操作的人员，应持有市场监督管理局所发的《特种设备作业人员证》，相关证书在有效期内。履行合同期间，应严格执行国家有关安全生产、环境保护、职业健康、水土保持等方面的有关法律法规、规定，应及时主动了解并应严格遵守甲方《工程质量规范书》《检修管理协议》《技术协议》《安全管理协议》《环保管理协议》《检修质量、进度考核实施细则》以及其他相关管理制度要求（包括甲方已发布和合同期内新发布的所有规章制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5.其他违约责任详见《四川泸州川南发电有限责任公司脱硫系统附属设施专项治理技术规范书》。</w:t>
      </w:r>
    </w:p>
    <w:p>
      <w:pPr>
        <w:keepNext w:val="0"/>
        <w:keepLines w:val="0"/>
        <w:pageBreakBefore w:val="0"/>
        <w:widowControl w:val="0"/>
        <w:kinsoku/>
        <w:wordWrap/>
        <w:overflowPunct/>
        <w:topLinePunct w:val="0"/>
        <w:autoSpaceDE/>
        <w:autoSpaceDN/>
        <w:bidi w:val="0"/>
        <w:snapToGrid/>
        <w:spacing w:line="360" w:lineRule="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五</w:t>
      </w:r>
      <w:r>
        <w:rPr>
          <w:rFonts w:hint="eastAsia" w:ascii="仿宋_GB2312" w:hAnsi="仿宋_GB2312" w:eastAsia="仿宋_GB2312" w:cs="仿宋_GB2312"/>
          <w:b/>
          <w:bCs/>
          <w:sz w:val="24"/>
          <w:szCs w:val="24"/>
        </w:rPr>
        <w:t>、</w:t>
      </w:r>
      <w:r>
        <w:rPr>
          <w:rFonts w:hint="eastAsia" w:ascii="仿宋_GB2312" w:hAnsi="仿宋_GB2312" w:eastAsia="仿宋_GB2312" w:cs="仿宋_GB2312"/>
          <w:b/>
          <w:bCs/>
          <w:sz w:val="24"/>
          <w:szCs w:val="24"/>
          <w:lang w:eastAsia="zh-CN"/>
        </w:rPr>
        <w:t>违约责任（实质性条款）</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1.乙方未按照合同履行义务的，甲方有权不支付任何价款，并有权解除合同，因此给甲方造成损失的，乙方应承担损害赔偿责任。</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甲乙双方应按照合同约定完全履行本合同约定的义务，若一方未履行本合同义务，出现《民法典》第563条规定的情形的，守约方有权解除本合同（合同自解除通知到达相对方经营场所之日起解除），违约方应当向守约方赔偿因此造成的经济损失。</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若乙方委派人员的数量、技能、工器具等不能满足本项目要求，乙方应按甲方要求及时整改，经甲方通知仍未整改的，甲方有权另行委托第三方与乙方一同完成本项目，甲方因此承担的一切费用由甲方从乙方合同结算费用中扣减，乙方无权对甲方委托的第三方和被扣减费用提出异议。</w:t>
      </w:r>
    </w:p>
    <w:p>
      <w:pPr>
        <w:keepNext w:val="0"/>
        <w:keepLines w:val="0"/>
        <w:pageBreakBefore w:val="0"/>
        <w:widowControl w:val="0"/>
        <w:kinsoku/>
        <w:wordWrap/>
        <w:overflowPunct/>
        <w:topLinePunct w:val="0"/>
        <w:autoSpaceDE/>
        <w:autoSpaceDN/>
        <w:bidi w:val="0"/>
        <w:snapToGrid/>
        <w:spacing w:line="360" w:lineRule="auto"/>
        <w:ind w:firstLine="481"/>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4.其他违约责任详见技术规范书。</w:t>
      </w:r>
    </w:p>
    <w:p>
      <w:pPr>
        <w:keepNext w:val="0"/>
        <w:keepLines w:val="0"/>
        <w:pageBreakBefore w:val="0"/>
        <w:widowControl w:val="0"/>
        <w:kinsoku/>
        <w:wordWrap/>
        <w:overflowPunct/>
        <w:topLinePunct w:val="0"/>
        <w:autoSpaceDE/>
        <w:autoSpaceDN/>
        <w:bidi w:val="0"/>
        <w:snapToGrid/>
        <w:spacing w:line="360" w:lineRule="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六、报价纪律</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val="en-US" w:eastAsia="zh-CN"/>
        </w:rPr>
        <w:t>1.</w:t>
      </w:r>
      <w:r>
        <w:rPr>
          <w:rFonts w:hint="eastAsia" w:ascii="仿宋_GB2312" w:hAnsi="仿宋_GB2312" w:eastAsia="仿宋_GB2312" w:cs="仿宋_GB2312"/>
          <w:b w:val="0"/>
          <w:bCs w:val="0"/>
          <w:sz w:val="24"/>
          <w:szCs w:val="24"/>
          <w:lang w:eastAsia="zh-CN"/>
        </w:rPr>
        <w:t>报价人不得相互串通报价，不得排挤其他报价人公平竞争，不得干扰川南发电公司的评审谈判工作，不得以任何形式打探和搜集评审谈判情况，不得与川南发电公司、同类项目单位串通报价，损害国家利益，社会公共利益或者他人利益。</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val="en-US" w:eastAsia="zh-CN"/>
        </w:rPr>
        <w:t>2.</w:t>
      </w:r>
      <w:r>
        <w:rPr>
          <w:rFonts w:hint="eastAsia" w:ascii="仿宋_GB2312" w:hAnsi="仿宋_GB2312" w:eastAsia="仿宋_GB2312" w:cs="仿宋_GB2312"/>
          <w:b w:val="0"/>
          <w:bCs w:val="0"/>
          <w:sz w:val="24"/>
          <w:szCs w:val="24"/>
          <w:lang w:eastAsia="zh-CN"/>
        </w:rPr>
        <w:t xml:space="preserve">报价人只能通过竞争性谈判公告允许的方式向川南发电公司送达报价文件。 </w:t>
      </w:r>
    </w:p>
    <w:p>
      <w:pPr>
        <w:keepNext w:val="0"/>
        <w:keepLines w:val="0"/>
        <w:pageBreakBefore w:val="0"/>
        <w:widowControl w:val="0"/>
        <w:kinsoku/>
        <w:wordWrap/>
        <w:overflowPunct/>
        <w:topLinePunct w:val="0"/>
        <w:autoSpaceDE/>
        <w:autoSpaceDN/>
        <w:bidi w:val="0"/>
        <w:snapToGrid/>
        <w:spacing w:line="360" w:lineRule="auto"/>
        <w:ind w:firstLine="481"/>
        <w:rPr>
          <w:rFonts w:hint="eastAsia" w:ascii="仿宋_GB2312" w:hAnsi="仿宋_GB2312" w:eastAsia="仿宋_GB2312" w:cs="仿宋_GB2312"/>
          <w:b w:val="0"/>
          <w:bCs w:val="0"/>
          <w:sz w:val="24"/>
          <w:szCs w:val="24"/>
          <w:lang w:eastAsia="zh-CN"/>
        </w:rPr>
      </w:pPr>
      <w:r>
        <w:rPr>
          <w:rFonts w:hint="eastAsia" w:ascii="仿宋_GB2312" w:hAnsi="仿宋_GB2312" w:eastAsia="仿宋_GB2312" w:cs="仿宋_GB2312"/>
          <w:b w:val="0"/>
          <w:bCs w:val="0"/>
          <w:sz w:val="24"/>
          <w:szCs w:val="24"/>
          <w:lang w:val="en-US" w:eastAsia="zh-CN"/>
        </w:rPr>
        <w:t>3.</w:t>
      </w:r>
      <w:r>
        <w:rPr>
          <w:rFonts w:hint="eastAsia" w:ascii="仿宋_GB2312" w:hAnsi="仿宋_GB2312" w:eastAsia="仿宋_GB2312" w:cs="仿宋_GB2312"/>
          <w:b w:val="0"/>
          <w:bCs w:val="0"/>
          <w:sz w:val="24"/>
          <w:szCs w:val="24"/>
          <w:lang w:eastAsia="zh-CN"/>
        </w:rPr>
        <w:t>严禁报价人向川南发电公司及其工作人员、同类项目单位及其工作人员以行贿的手段谋取中选。</w:t>
      </w:r>
    </w:p>
    <w:p>
      <w:pPr>
        <w:spacing w:line="360" w:lineRule="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六</w:t>
      </w:r>
      <w:r>
        <w:rPr>
          <w:rFonts w:hint="eastAsia" w:ascii="仿宋_GB2312" w:hAnsi="仿宋_GB2312" w:eastAsia="仿宋_GB2312" w:cs="仿宋_GB2312"/>
          <w:b/>
          <w:bCs/>
          <w:sz w:val="24"/>
          <w:szCs w:val="24"/>
        </w:rPr>
        <w:t>、</w:t>
      </w:r>
      <w:r>
        <w:rPr>
          <w:rFonts w:hint="eastAsia" w:ascii="仿宋_GB2312" w:hAnsi="仿宋_GB2312" w:eastAsia="仿宋_GB2312" w:cs="仿宋_GB2312"/>
          <w:b/>
          <w:bCs/>
          <w:sz w:val="24"/>
          <w:szCs w:val="24"/>
          <w:lang w:eastAsia="zh-CN"/>
        </w:rPr>
        <w:t>其他说明：</w:t>
      </w:r>
    </w:p>
    <w:p>
      <w:pPr>
        <w:rPr>
          <w:rFonts w:hint="eastAsia" w:ascii="仿宋_GB2312" w:hAnsi="仿宋_GB2312" w:eastAsia="仿宋_GB2312" w:cs="仿宋_GB2312"/>
          <w:b/>
          <w:bCs/>
          <w:sz w:val="24"/>
          <w:szCs w:val="24"/>
          <w:lang w:eastAsia="zh-CN"/>
        </w:rPr>
      </w:pPr>
    </w:p>
    <w:p>
      <w:pPr>
        <w:rPr>
          <w:rFonts w:hint="eastAsia" w:ascii="仿宋_GB2312" w:hAnsi="仿宋_GB2312" w:eastAsia="仿宋_GB2312" w:cs="仿宋_GB2312"/>
          <w:b/>
          <w:bCs/>
          <w:sz w:val="24"/>
          <w:szCs w:val="24"/>
          <w:lang w:eastAsia="zh-CN"/>
        </w:rPr>
      </w:pPr>
    </w:p>
    <w:p>
      <w:pPr>
        <w:rPr>
          <w:rFonts w:hint="eastAsia" w:ascii="仿宋_GB2312" w:hAnsi="仿宋_GB2312" w:eastAsia="仿宋_GB2312" w:cs="仿宋_GB2312"/>
          <w:b/>
          <w:bCs/>
          <w:sz w:val="24"/>
          <w:szCs w:val="24"/>
          <w:lang w:eastAsia="zh-CN"/>
        </w:rPr>
      </w:pPr>
    </w:p>
    <w:p>
      <w:pPr>
        <w:rPr>
          <w:rFonts w:hint="eastAsia" w:ascii="仿宋_GB2312" w:hAnsi="仿宋_GB2312" w:eastAsia="仿宋_GB2312" w:cs="仿宋_GB2312"/>
          <w:b/>
          <w:bCs/>
          <w:sz w:val="24"/>
          <w:szCs w:val="24"/>
          <w:lang w:eastAsia="zh-CN"/>
        </w:rPr>
      </w:pPr>
    </w:p>
    <w:p>
      <w:pPr>
        <w:rPr>
          <w:rFonts w:hint="eastAsia" w:ascii="仿宋_GB2312" w:hAnsi="仿宋_GB2312" w:eastAsia="仿宋_GB2312" w:cs="仿宋_GB2312"/>
          <w:b/>
          <w:bCs/>
          <w:sz w:val="24"/>
          <w:szCs w:val="24"/>
          <w:lang w:eastAsia="zh-CN"/>
        </w:rPr>
      </w:pPr>
    </w:p>
    <w:p>
      <w:pP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乙方：施 工 单 位 名 称（盖单位公章）</w:t>
      </w:r>
    </w:p>
    <w:p>
      <w:pPr>
        <w:ind w:firstLine="6000" w:firstLineChars="25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p>
    <w:p>
      <w:pPr>
        <w:ind w:firstLine="6240" w:firstLineChars="26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年    月    日   </w:t>
      </w:r>
    </w:p>
    <w:p>
      <w:pPr>
        <w:numPr>
          <w:ilvl w:val="0"/>
          <w:numId w:val="0"/>
        </w:numPr>
        <w:jc w:val="both"/>
        <w:rPr>
          <w:rFonts w:hint="default" w:ascii="仿宋" w:hAnsi="仿宋" w:eastAsia="仿宋" w:cs="仿宋"/>
          <w:b w:val="0"/>
          <w:bCs w:val="0"/>
          <w:sz w:val="28"/>
          <w:szCs w:val="28"/>
          <w:lang w:val="en-US" w:eastAsia="zh-CN"/>
        </w:rPr>
      </w:pPr>
    </w:p>
    <w:p>
      <w:pPr>
        <w:adjustRightInd w:val="0"/>
        <w:snapToGrid w:val="0"/>
        <w:spacing w:line="300" w:lineRule="auto"/>
        <w:jc w:val="center"/>
        <w:outlineLvl w:val="0"/>
        <w:rPr>
          <w:rFonts w:hint="eastAsia" w:ascii="方正小标宋简体" w:hAnsi="方正小标宋简体" w:eastAsia="方正小标宋简体" w:cs="方正小标宋简体"/>
          <w:bCs/>
          <w:sz w:val="44"/>
          <w:szCs w:val="44"/>
          <w:lang w:val="zh-CN"/>
        </w:rPr>
      </w:pPr>
    </w:p>
    <w:p>
      <w:pPr>
        <w:adjustRightInd w:val="0"/>
        <w:snapToGrid w:val="0"/>
        <w:spacing w:line="300" w:lineRule="auto"/>
        <w:jc w:val="center"/>
        <w:outlineLvl w:val="0"/>
        <w:rPr>
          <w:rFonts w:hint="eastAsia" w:ascii="方正小标宋简体" w:hAnsi="方正小标宋简体" w:eastAsia="方正小标宋简体" w:cs="方正小标宋简体"/>
          <w:bCs/>
          <w:sz w:val="44"/>
          <w:szCs w:val="44"/>
          <w:lang w:val="zh-CN"/>
        </w:rPr>
      </w:pPr>
    </w:p>
    <w:p>
      <w:pPr>
        <w:adjustRightInd w:val="0"/>
        <w:snapToGrid w:val="0"/>
        <w:spacing w:line="300" w:lineRule="auto"/>
        <w:jc w:val="center"/>
        <w:outlineLvl w:val="0"/>
        <w:rPr>
          <w:rFonts w:hint="eastAsia" w:ascii="方正小标宋简体" w:hAnsi="方正小标宋简体" w:eastAsia="方正小标宋简体" w:cs="方正小标宋简体"/>
          <w:bCs/>
          <w:sz w:val="44"/>
          <w:szCs w:val="44"/>
          <w:lang w:val="zh-CN"/>
        </w:rPr>
      </w:pPr>
    </w:p>
    <w:p>
      <w:pPr>
        <w:adjustRightInd w:val="0"/>
        <w:snapToGrid w:val="0"/>
        <w:spacing w:line="300" w:lineRule="auto"/>
        <w:jc w:val="center"/>
        <w:outlineLvl w:val="0"/>
        <w:rPr>
          <w:rFonts w:hint="eastAsia" w:ascii="方正小标宋简体" w:hAnsi="方正小标宋简体" w:eastAsia="方正小标宋简体" w:cs="方正小标宋简体"/>
          <w:bCs/>
          <w:sz w:val="44"/>
          <w:szCs w:val="44"/>
          <w:lang w:val="zh-CN"/>
        </w:rPr>
      </w:pPr>
    </w:p>
    <w:p>
      <w:pPr>
        <w:adjustRightInd w:val="0"/>
        <w:snapToGrid w:val="0"/>
        <w:spacing w:line="300" w:lineRule="auto"/>
        <w:jc w:val="center"/>
        <w:outlineLvl w:val="0"/>
        <w:rPr>
          <w:rFonts w:hint="eastAsia" w:ascii="方正小标宋简体" w:hAnsi="方正小标宋简体" w:eastAsia="方正小标宋简体" w:cs="方正小标宋简体"/>
          <w:bCs/>
          <w:sz w:val="44"/>
          <w:szCs w:val="44"/>
          <w:lang w:val="zh-CN"/>
        </w:rPr>
      </w:pPr>
    </w:p>
    <w:p>
      <w:pPr>
        <w:adjustRightInd w:val="0"/>
        <w:snapToGrid w:val="0"/>
        <w:spacing w:line="300" w:lineRule="auto"/>
        <w:jc w:val="center"/>
        <w:outlineLvl w:val="0"/>
        <w:rPr>
          <w:rFonts w:hint="eastAsia" w:ascii="方正小标宋简体" w:hAnsi="方正小标宋简体" w:eastAsia="方正小标宋简体" w:cs="方正小标宋简体"/>
          <w:bCs/>
          <w:sz w:val="44"/>
          <w:szCs w:val="44"/>
          <w:lang w:val="zh-CN"/>
        </w:rPr>
      </w:pPr>
    </w:p>
    <w:p>
      <w:pPr>
        <w:adjustRightInd w:val="0"/>
        <w:snapToGrid w:val="0"/>
        <w:spacing w:line="300" w:lineRule="auto"/>
        <w:jc w:val="center"/>
        <w:outlineLvl w:val="0"/>
        <w:rPr>
          <w:rFonts w:hint="eastAsia"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法定代表人身份证明</w:t>
      </w:r>
    </w:p>
    <w:p>
      <w:pPr>
        <w:widowControl/>
        <w:spacing w:line="360" w:lineRule="auto"/>
        <w:rPr>
          <w:rFonts w:hint="eastAsia" w:ascii="仿宋_GB2312" w:hAnsi="仿宋_GB2312" w:eastAsia="仿宋_GB2312" w:cs="仿宋_GB2312"/>
          <w:sz w:val="24"/>
        </w:rPr>
      </w:pP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报价人名称：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 xml:space="preserve"> (单位名称）</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地址：</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（单位地址）</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成立时间：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经营期限：</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r>
        <w:rPr>
          <w:rFonts w:hint="eastAsia" w:ascii="仿宋_GB2312" w:hAnsi="仿宋_GB2312" w:eastAsia="仿宋_GB2312" w:cs="仿宋_GB2312"/>
          <w:sz w:val="24"/>
          <w:u w:val="single"/>
        </w:rPr>
        <w:t xml:space="preserve">至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姓名：</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性别：</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年龄：</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职务：</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w:t>
      </w:r>
    </w:p>
    <w:p>
      <w:pPr>
        <w:keepNext w:val="0"/>
        <w:keepLines w:val="0"/>
        <w:pageBreakBefore w:val="0"/>
        <w:widowControl/>
        <w:kinsoku/>
        <w:wordWrap/>
        <w:overflowPunct/>
        <w:topLinePunct w:val="0"/>
        <w:autoSpaceDE/>
        <w:autoSpaceDN/>
        <w:bidi w:val="0"/>
        <w:adjustRightInd/>
        <w:spacing w:line="440" w:lineRule="exact"/>
        <w:ind w:firstLine="960" w:firstLineChars="4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特此证明。</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附：法定代表人身份证复印件</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1" w:hRule="atLeast"/>
          <w:jc w:val="center"/>
        </w:trPr>
        <w:tc>
          <w:tcPr>
            <w:tcW w:w="4819" w:type="dxa"/>
            <w:noWrap w:val="0"/>
            <w:vAlign w:val="center"/>
          </w:tcPr>
          <w:p>
            <w:pPr>
              <w:keepNext w:val="0"/>
              <w:keepLines w:val="0"/>
              <w:pageBreakBefore w:val="0"/>
              <w:widowControl/>
              <w:kinsoku/>
              <w:wordWrap/>
              <w:overflowPunct/>
              <w:topLinePunct w:val="0"/>
              <w:autoSpaceDE/>
              <w:autoSpaceDN/>
              <w:bidi w:val="0"/>
              <w:adjustRightInd/>
              <w:snapToGrid w:val="0"/>
              <w:spacing w:before="156" w:beforeLines="50" w:after="156" w:afterLines="50" w:line="440" w:lineRule="exact"/>
              <w:jc w:val="center"/>
              <w:textAlignment w:val="auto"/>
              <w:rPr>
                <w:rFonts w:hint="eastAsia" w:ascii="仿宋_GB2312" w:hAnsi="仿宋_GB2312" w:eastAsia="仿宋_GB2312" w:cs="仿宋_GB2312"/>
                <w:sz w:val="24"/>
              </w:rPr>
            </w:pPr>
            <w:bookmarkStart w:id="0" w:name="_Toc460953405"/>
            <w:bookmarkStart w:id="1" w:name="_Toc466443899"/>
            <w:bookmarkStart w:id="2" w:name="_Toc466624757"/>
            <w:bookmarkStart w:id="3" w:name="_Toc460953751"/>
            <w:bookmarkStart w:id="4" w:name="_Toc466626700"/>
            <w:r>
              <w:rPr>
                <w:rFonts w:hint="eastAsia" w:ascii="仿宋_GB2312" w:hAnsi="仿宋_GB2312" w:eastAsia="仿宋_GB2312" w:cs="仿宋_GB2312"/>
                <w:sz w:val="24"/>
              </w:rPr>
              <w:t>法定代表人身份证复印件正面</w:t>
            </w:r>
            <w:bookmarkEnd w:id="0"/>
            <w:bookmarkEnd w:id="1"/>
            <w:bookmarkEnd w:id="2"/>
            <w:bookmarkEnd w:id="3"/>
            <w:bookmarkEnd w:id="4"/>
          </w:p>
        </w:tc>
        <w:tc>
          <w:tcPr>
            <w:tcW w:w="4819" w:type="dxa"/>
            <w:noWrap w:val="0"/>
            <w:vAlign w:val="center"/>
          </w:tcPr>
          <w:p>
            <w:pPr>
              <w:keepNext w:val="0"/>
              <w:keepLines w:val="0"/>
              <w:pageBreakBefore w:val="0"/>
              <w:widowControl/>
              <w:kinsoku/>
              <w:wordWrap/>
              <w:overflowPunct/>
              <w:topLinePunct w:val="0"/>
              <w:autoSpaceDE/>
              <w:autoSpaceDN/>
              <w:bidi w:val="0"/>
              <w:adjustRightInd/>
              <w:snapToGrid w:val="0"/>
              <w:spacing w:before="156" w:beforeLines="50" w:after="156" w:afterLines="50" w:line="440" w:lineRule="exact"/>
              <w:jc w:val="center"/>
              <w:textAlignment w:val="auto"/>
              <w:rPr>
                <w:rFonts w:hint="eastAsia" w:ascii="仿宋_GB2312" w:hAnsi="仿宋_GB2312" w:eastAsia="仿宋_GB2312" w:cs="仿宋_GB2312"/>
                <w:sz w:val="24"/>
              </w:rPr>
            </w:pPr>
            <w:bookmarkStart w:id="5" w:name="_Toc466624758"/>
            <w:bookmarkStart w:id="6" w:name="_Toc460953752"/>
            <w:bookmarkStart w:id="7" w:name="_Toc460953406"/>
            <w:bookmarkStart w:id="8" w:name="_Toc466443900"/>
            <w:bookmarkStart w:id="9" w:name="_Toc466626701"/>
            <w:r>
              <w:rPr>
                <w:rFonts w:hint="eastAsia" w:ascii="仿宋_GB2312" w:hAnsi="仿宋_GB2312" w:eastAsia="仿宋_GB2312" w:cs="仿宋_GB2312"/>
                <w:sz w:val="24"/>
              </w:rPr>
              <w:t>法定代表人身份证复印件反面</w:t>
            </w:r>
            <w:bookmarkEnd w:id="5"/>
            <w:bookmarkEnd w:id="6"/>
            <w:bookmarkEnd w:id="7"/>
            <w:bookmarkEnd w:id="8"/>
            <w:bookmarkEnd w:id="9"/>
          </w:p>
        </w:tc>
      </w:tr>
    </w:tbl>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p>
    <w:p>
      <w:pPr>
        <w:keepNext w:val="0"/>
        <w:keepLines w:val="0"/>
        <w:pageBreakBefore w:val="0"/>
        <w:widowControl/>
        <w:kinsoku/>
        <w:wordWrap/>
        <w:overflowPunct/>
        <w:topLinePunct w:val="0"/>
        <w:autoSpaceDE/>
        <w:autoSpaceDN/>
        <w:bidi w:val="0"/>
        <w:adjustRightInd/>
        <w:spacing w:line="440" w:lineRule="exact"/>
        <w:ind w:firstLine="3600" w:firstLineChars="1500"/>
        <w:textAlignment w:val="auto"/>
        <w:rPr>
          <w:rFonts w:hint="eastAsia" w:ascii="仿宋_GB2312" w:hAnsi="仿宋_GB2312" w:eastAsia="仿宋_GB2312" w:cs="仿宋_GB2312"/>
          <w:sz w:val="24"/>
        </w:rPr>
      </w:pPr>
      <w:r>
        <w:rPr>
          <w:rFonts w:hint="eastAsia" w:ascii="仿宋_GB2312" w:hAnsi="仿宋_GB2312" w:eastAsia="仿宋_GB2312" w:cs="仿宋_GB2312"/>
          <w:sz w:val="24"/>
        </w:rPr>
        <w:t>报价人：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（盖单位</w:t>
      </w:r>
      <w:r>
        <w:rPr>
          <w:rFonts w:hint="eastAsia" w:ascii="仿宋_GB2312" w:hAnsi="仿宋_GB2312" w:eastAsia="仿宋_GB2312" w:cs="仿宋_GB2312"/>
          <w:sz w:val="24"/>
          <w:lang w:eastAsia="zh-CN"/>
        </w:rPr>
        <w:t>公</w:t>
      </w:r>
      <w:r>
        <w:rPr>
          <w:rFonts w:hint="eastAsia" w:ascii="仿宋_GB2312" w:hAnsi="仿宋_GB2312" w:eastAsia="仿宋_GB2312" w:cs="仿宋_GB2312"/>
          <w:sz w:val="24"/>
        </w:rPr>
        <w:t>章</w:t>
      </w:r>
      <w:r>
        <w:rPr>
          <w:rFonts w:hint="eastAsia" w:ascii="仿宋_GB2312" w:hAnsi="仿宋_GB2312" w:eastAsia="仿宋_GB2312" w:cs="仿宋_GB2312"/>
          <w:sz w:val="24"/>
          <w:lang w:val="en-US" w:eastAsia="zh-CN"/>
        </w:rPr>
        <w:t>/专用章</w:t>
      </w:r>
      <w:r>
        <w:rPr>
          <w:rFonts w:hint="eastAsia" w:ascii="仿宋_GB2312" w:hAnsi="仿宋_GB2312" w:eastAsia="仿宋_GB2312" w:cs="仿宋_GB2312"/>
          <w:sz w:val="24"/>
        </w:rPr>
        <w:t>）</w:t>
      </w:r>
    </w:p>
    <w:p>
      <w:pPr>
        <w:pStyle w:val="8"/>
        <w:ind w:firstLine="3640" w:firstLineChars="1400"/>
        <w:rPr>
          <w:rFonts w:hint="eastAsia"/>
        </w:rPr>
      </w:pPr>
      <w:r>
        <w:rPr>
          <w:rFonts w:hint="eastAsia" w:ascii="仿宋_GB2312" w:hAnsi="仿宋_GB2312" w:eastAsia="仿宋_GB2312" w:cs="仿宋_GB2312"/>
          <w:sz w:val="24"/>
        </w:rPr>
        <w:t>联系电话：</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p>
    <w:p>
      <w:pPr>
        <w:keepNext w:val="0"/>
        <w:keepLines w:val="0"/>
        <w:pageBreakBefore w:val="0"/>
        <w:widowControl/>
        <w:kinsoku/>
        <w:wordWrap/>
        <w:overflowPunct/>
        <w:topLinePunct w:val="0"/>
        <w:autoSpaceDE/>
        <w:autoSpaceDN/>
        <w:bidi w:val="0"/>
        <w:adjustRightInd/>
        <w:spacing w:line="440" w:lineRule="exact"/>
        <w:ind w:firstLine="6840" w:firstLineChars="2850"/>
        <w:textAlignment w:val="auto"/>
        <w:rPr>
          <w:rFonts w:hint="eastAsia"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keepNext w:val="0"/>
        <w:keepLines w:val="0"/>
        <w:pageBreakBefore w:val="0"/>
        <w:widowControl/>
        <w:kinsoku/>
        <w:wordWrap/>
        <w:overflowPunct/>
        <w:topLinePunct w:val="0"/>
        <w:autoSpaceDE/>
        <w:autoSpaceDN/>
        <w:bidi w:val="0"/>
        <w:adjustRightInd/>
        <w:spacing w:line="440" w:lineRule="exact"/>
        <w:ind w:firstLine="480" w:firstLineChars="200"/>
        <w:textAlignment w:val="auto"/>
        <w:rPr>
          <w:rFonts w:hint="eastAsia" w:ascii="仿宋_GB2312" w:hAnsi="仿宋_GB2312" w:eastAsia="仿宋_GB2312" w:cs="仿宋_GB2312"/>
          <w:sz w:val="24"/>
        </w:rPr>
      </w:pPr>
    </w:p>
    <w:p>
      <w:pPr>
        <w:keepNext w:val="0"/>
        <w:keepLines w:val="0"/>
        <w:pageBreakBefore w:val="0"/>
        <w:widowControl/>
        <w:kinsoku/>
        <w:wordWrap/>
        <w:overflowPunct/>
        <w:topLinePunct w:val="0"/>
        <w:autoSpaceDE/>
        <w:autoSpaceDN/>
        <w:bidi w:val="0"/>
        <w:adjustRightInd/>
        <w:spacing w:line="440" w:lineRule="exact"/>
        <w:ind w:firstLine="420" w:firstLineChars="200"/>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t>注：适用于法定代表人亲自报价而不委托代理人报价</w:t>
      </w:r>
      <w:r>
        <w:rPr>
          <w:rFonts w:hint="eastAsia" w:ascii="仿宋_GB2312" w:hAnsi="仿宋_GB2312" w:eastAsia="仿宋_GB2312" w:cs="仿宋_GB2312"/>
          <w:szCs w:val="21"/>
          <w:lang w:eastAsia="zh-CN"/>
        </w:rPr>
        <w:t>，</w:t>
      </w:r>
      <w:r>
        <w:rPr>
          <w:rFonts w:hint="eastAsia" w:ascii="仿宋_GB2312" w:hAnsi="仿宋_GB2312" w:eastAsia="仿宋_GB2312" w:cs="仿宋_GB2312"/>
          <w:sz w:val="24"/>
        </w:rPr>
        <w:t>盖单位</w:t>
      </w:r>
      <w:r>
        <w:rPr>
          <w:rFonts w:hint="eastAsia" w:ascii="仿宋_GB2312" w:hAnsi="仿宋_GB2312" w:eastAsia="仿宋_GB2312" w:cs="仿宋_GB2312"/>
          <w:sz w:val="24"/>
          <w:lang w:eastAsia="zh-CN"/>
        </w:rPr>
        <w:t>公</w:t>
      </w:r>
      <w:r>
        <w:rPr>
          <w:rFonts w:hint="eastAsia" w:ascii="仿宋_GB2312" w:hAnsi="仿宋_GB2312" w:eastAsia="仿宋_GB2312" w:cs="仿宋_GB2312"/>
          <w:sz w:val="24"/>
        </w:rPr>
        <w:t>章</w:t>
      </w:r>
      <w:r>
        <w:rPr>
          <w:rFonts w:hint="eastAsia" w:ascii="仿宋_GB2312" w:hAnsi="仿宋_GB2312" w:eastAsia="仿宋_GB2312" w:cs="仿宋_GB2312"/>
          <w:sz w:val="24"/>
          <w:lang w:val="en-US" w:eastAsia="zh-CN"/>
        </w:rPr>
        <w:t>/专用章即视为报价人确认“复印件与原件核对一致”</w:t>
      </w:r>
      <w:r>
        <w:rPr>
          <w:rFonts w:hint="eastAsia" w:ascii="仿宋_GB2312" w:hAnsi="仿宋_GB2312" w:eastAsia="仿宋_GB2312" w:cs="仿宋_GB2312"/>
          <w:szCs w:val="21"/>
        </w:rPr>
        <w:t>。</w:t>
      </w:r>
    </w:p>
    <w:p>
      <w:pPr>
        <w:keepNext w:val="0"/>
        <w:keepLines w:val="0"/>
        <w:pageBreakBefore w:val="0"/>
        <w:widowControl/>
        <w:kinsoku/>
        <w:wordWrap/>
        <w:overflowPunct/>
        <w:topLinePunct w:val="0"/>
        <w:autoSpaceDE/>
        <w:autoSpaceDN/>
        <w:bidi w:val="0"/>
        <w:adjustRightInd/>
        <w:spacing w:line="240" w:lineRule="auto"/>
        <w:ind w:firstLine="0" w:firstLineChars="0"/>
        <w:textAlignment w:val="auto"/>
        <w:rPr>
          <w:rFonts w:hint="eastAsia" w:ascii="仿宋_GB2312" w:hAnsi="仿宋_GB2312" w:eastAsia="仿宋_GB2312" w:cs="仿宋_GB2312"/>
          <w:szCs w:val="21"/>
        </w:rPr>
      </w:pPr>
      <w:r>
        <w:rPr>
          <w:rFonts w:hint="eastAsia" w:ascii="仿宋_GB2312" w:hAnsi="仿宋_GB2312" w:eastAsia="仿宋_GB2312" w:cs="仿宋_GB2312"/>
          <w:szCs w:val="21"/>
        </w:rPr>
        <w:br w:type="page"/>
      </w:r>
    </w:p>
    <w:p>
      <w:pPr>
        <w:adjustRightInd w:val="0"/>
        <w:snapToGrid w:val="0"/>
        <w:spacing w:line="300" w:lineRule="auto"/>
        <w:jc w:val="center"/>
        <w:outlineLvl w:val="0"/>
        <w:rPr>
          <w:rFonts w:hint="eastAsia" w:ascii="方正小标宋简体" w:hAnsi="方正小标宋简体" w:eastAsia="方正小标宋简体" w:cs="方正小标宋简体"/>
          <w:bCs/>
          <w:sz w:val="44"/>
          <w:szCs w:val="44"/>
          <w:lang w:val="zh-CN"/>
        </w:rPr>
      </w:pPr>
      <w:r>
        <w:rPr>
          <w:rFonts w:hint="eastAsia" w:ascii="方正小标宋简体" w:hAnsi="方正小标宋简体" w:eastAsia="方正小标宋简体" w:cs="方正小标宋简体"/>
          <w:bCs/>
          <w:sz w:val="44"/>
          <w:szCs w:val="44"/>
          <w:lang w:val="zh-CN"/>
        </w:rPr>
        <w:t>授权委托书</w:t>
      </w:r>
    </w:p>
    <w:p>
      <w:pPr>
        <w:widowControl/>
        <w:spacing w:line="360" w:lineRule="auto"/>
        <w:rPr>
          <w:rFonts w:hint="eastAsia" w:ascii="仿宋_GB2312" w:hAnsi="仿宋_GB2312" w:eastAsia="仿宋_GB2312" w:cs="仿宋_GB2312"/>
          <w:sz w:val="24"/>
        </w:rPr>
      </w:pPr>
    </w:p>
    <w:p>
      <w:pPr>
        <w:tabs>
          <w:tab w:val="left" w:pos="900"/>
        </w:tabs>
        <w:adjustRightInd w:val="0"/>
        <w:snapToGrid w:val="0"/>
        <w:spacing w:line="300" w:lineRule="auto"/>
        <w:ind w:firstLine="480" w:firstLineChars="200"/>
        <w:rPr>
          <w:rFonts w:hint="eastAsia" w:ascii="仿宋_GB2312" w:hAnsi="仿宋_GB2312" w:eastAsia="仿宋_GB2312" w:cs="仿宋_GB2312"/>
          <w:sz w:val="24"/>
          <w:u w:val="single"/>
        </w:rPr>
      </w:pPr>
      <w:r>
        <w:rPr>
          <w:rFonts w:hint="eastAsia" w:ascii="仿宋_GB2312" w:hAnsi="仿宋_GB2312" w:eastAsia="仿宋_GB2312" w:cs="仿宋_GB2312"/>
          <w:sz w:val="24"/>
        </w:rPr>
        <w:t>本人</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系</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(报价人名称)的法定代表人，现授权</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(姓名)身份证号：</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为我方代理人。代理人以我方的名义签署、澄清、说明、补正、递交、撤回、修改</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（项目名称）响应文件、签订合同和处理有关事宜，其法律后果由我方承担。</w:t>
      </w:r>
    </w:p>
    <w:p>
      <w:pPr>
        <w:tabs>
          <w:tab w:val="left" w:pos="900"/>
        </w:tabs>
        <w:adjustRightInd w:val="0"/>
        <w:snapToGrid w:val="0"/>
        <w:spacing w:line="30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授权有效期：自本授权委托书签署之日起至本项目采购文件规定的“报价有效期”结束为止。</w:t>
      </w:r>
    </w:p>
    <w:p>
      <w:pPr>
        <w:widowControl/>
        <w:tabs>
          <w:tab w:val="left" w:pos="900"/>
        </w:tabs>
        <w:adjustRightInd w:val="0"/>
        <w:snapToGrid w:val="0"/>
        <w:spacing w:line="30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代理人无转委托权。</w:t>
      </w:r>
    </w:p>
    <w:p>
      <w:pPr>
        <w:widowControl/>
        <w:spacing w:line="360" w:lineRule="auto"/>
        <w:ind w:firstLine="480" w:firstLineChars="200"/>
        <w:rPr>
          <w:rFonts w:hint="eastAsia" w:ascii="仿宋_GB2312" w:hAnsi="仿宋_GB2312" w:eastAsia="仿宋_GB2312" w:cs="仿宋_GB2312"/>
          <w:sz w:val="24"/>
        </w:rPr>
      </w:pPr>
      <w:r>
        <w:rPr>
          <w:rFonts w:hint="eastAsia" w:ascii="仿宋_GB2312" w:hAnsi="仿宋_GB2312" w:eastAsia="仿宋_GB2312" w:cs="仿宋_GB2312"/>
          <w:sz w:val="24"/>
        </w:rPr>
        <w:t>附：</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9"/>
        <w:gridCol w:w="4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6" w:hRule="atLeast"/>
          <w:jc w:val="center"/>
        </w:trPr>
        <w:tc>
          <w:tcPr>
            <w:tcW w:w="4819" w:type="dxa"/>
            <w:noWrap w:val="0"/>
            <w:vAlign w:val="center"/>
          </w:tcPr>
          <w:p>
            <w:pPr>
              <w:widowControl/>
              <w:snapToGrid w:val="0"/>
              <w:spacing w:before="156" w:beforeLines="50" w:after="156" w:afterLines="50"/>
              <w:jc w:val="center"/>
              <w:rPr>
                <w:rFonts w:hint="eastAsia" w:ascii="仿宋_GB2312" w:hAnsi="仿宋_GB2312" w:eastAsia="仿宋_GB2312" w:cs="仿宋_GB2312"/>
                <w:sz w:val="24"/>
              </w:rPr>
            </w:pPr>
            <w:r>
              <w:rPr>
                <w:rFonts w:hint="eastAsia" w:ascii="仿宋_GB2312" w:hAnsi="仿宋_GB2312" w:eastAsia="仿宋_GB2312" w:cs="仿宋_GB2312"/>
                <w:sz w:val="24"/>
              </w:rPr>
              <w:t>法定代表人身份证复印件正面</w:t>
            </w:r>
          </w:p>
        </w:tc>
        <w:tc>
          <w:tcPr>
            <w:tcW w:w="4819" w:type="dxa"/>
            <w:noWrap w:val="0"/>
            <w:vAlign w:val="center"/>
          </w:tcPr>
          <w:p>
            <w:pPr>
              <w:widowControl/>
              <w:snapToGrid w:val="0"/>
              <w:spacing w:before="156" w:beforeLines="50" w:after="156" w:afterLines="50"/>
              <w:jc w:val="center"/>
              <w:rPr>
                <w:rFonts w:hint="eastAsia" w:ascii="仿宋_GB2312" w:hAnsi="仿宋_GB2312" w:eastAsia="仿宋_GB2312" w:cs="仿宋_GB2312"/>
                <w:sz w:val="24"/>
              </w:rPr>
            </w:pPr>
            <w:r>
              <w:rPr>
                <w:rFonts w:hint="eastAsia" w:ascii="仿宋_GB2312" w:hAnsi="仿宋_GB2312" w:eastAsia="仿宋_GB2312" w:cs="仿宋_GB2312"/>
                <w:sz w:val="24"/>
              </w:rPr>
              <w:t>法定代表人身份证复印件反面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6" w:hRule="atLeast"/>
          <w:jc w:val="center"/>
        </w:trPr>
        <w:tc>
          <w:tcPr>
            <w:tcW w:w="4819" w:type="dxa"/>
            <w:noWrap w:val="0"/>
            <w:vAlign w:val="center"/>
          </w:tcPr>
          <w:p>
            <w:pPr>
              <w:widowControl/>
              <w:snapToGrid w:val="0"/>
              <w:spacing w:before="156" w:beforeLines="50" w:after="156" w:afterLines="50"/>
              <w:jc w:val="center"/>
              <w:rPr>
                <w:rFonts w:hint="eastAsia" w:ascii="仿宋_GB2312" w:hAnsi="仿宋_GB2312" w:eastAsia="仿宋_GB2312" w:cs="仿宋_GB2312"/>
                <w:sz w:val="24"/>
              </w:rPr>
            </w:pPr>
            <w:r>
              <w:rPr>
                <w:rFonts w:hint="eastAsia" w:ascii="仿宋_GB2312" w:hAnsi="仿宋_GB2312" w:eastAsia="仿宋_GB2312" w:cs="仿宋_GB2312"/>
                <w:sz w:val="24"/>
              </w:rPr>
              <w:t>委托代理人身份证复印件正面</w:t>
            </w:r>
          </w:p>
        </w:tc>
        <w:tc>
          <w:tcPr>
            <w:tcW w:w="4819" w:type="dxa"/>
            <w:noWrap w:val="0"/>
            <w:vAlign w:val="center"/>
          </w:tcPr>
          <w:p>
            <w:pPr>
              <w:widowControl/>
              <w:snapToGrid w:val="0"/>
              <w:spacing w:before="156" w:beforeLines="50" w:after="156" w:afterLines="50"/>
              <w:jc w:val="center"/>
              <w:rPr>
                <w:rFonts w:hint="eastAsia" w:ascii="仿宋_GB2312" w:hAnsi="仿宋_GB2312" w:eastAsia="仿宋_GB2312" w:cs="仿宋_GB2312"/>
                <w:sz w:val="24"/>
              </w:rPr>
            </w:pPr>
            <w:r>
              <w:rPr>
                <w:rFonts w:hint="eastAsia" w:ascii="仿宋_GB2312" w:hAnsi="仿宋_GB2312" w:eastAsia="仿宋_GB2312" w:cs="仿宋_GB2312"/>
                <w:sz w:val="24"/>
              </w:rPr>
              <w:t>委托代理人身份证复印件反面</w:t>
            </w:r>
          </w:p>
        </w:tc>
      </w:tr>
    </w:tbl>
    <w:p>
      <w:pPr>
        <w:widowControl/>
        <w:spacing w:line="360" w:lineRule="auto"/>
        <w:rPr>
          <w:rFonts w:hint="eastAsia" w:ascii="仿宋_GB2312" w:hAnsi="仿宋_GB2312" w:eastAsia="仿宋_GB2312" w:cs="仿宋_GB2312"/>
          <w:sz w:val="24"/>
          <w:lang w:eastAsia="zh-CN"/>
        </w:rPr>
      </w:pPr>
    </w:p>
    <w:p>
      <w:pPr>
        <w:widowControl/>
        <w:spacing w:line="360" w:lineRule="auto"/>
        <w:jc w:val="both"/>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报价人：</w:t>
      </w:r>
      <w:r>
        <w:rPr>
          <w:rFonts w:hint="eastAsia" w:ascii="仿宋_GB2312" w:hAnsi="仿宋_GB2312" w:eastAsia="仿宋_GB2312" w:cs="仿宋_GB2312"/>
          <w:sz w:val="24"/>
          <w:u w:val="single"/>
        </w:rPr>
        <w:t xml:space="preserve">                      （盖单位</w:t>
      </w:r>
      <w:r>
        <w:rPr>
          <w:rFonts w:hint="eastAsia" w:ascii="仿宋_GB2312" w:hAnsi="仿宋_GB2312" w:eastAsia="仿宋_GB2312" w:cs="仿宋_GB2312"/>
          <w:sz w:val="24"/>
          <w:u w:val="single"/>
          <w:lang w:eastAsia="zh-CN"/>
        </w:rPr>
        <w:t>公</w:t>
      </w:r>
      <w:r>
        <w:rPr>
          <w:rFonts w:hint="eastAsia" w:ascii="仿宋_GB2312" w:hAnsi="仿宋_GB2312" w:eastAsia="仿宋_GB2312" w:cs="仿宋_GB2312"/>
          <w:sz w:val="24"/>
          <w:u w:val="single"/>
        </w:rPr>
        <w:t>章</w:t>
      </w:r>
      <w:r>
        <w:rPr>
          <w:rFonts w:hint="eastAsia" w:ascii="仿宋_GB2312" w:hAnsi="仿宋_GB2312" w:eastAsia="仿宋_GB2312" w:cs="仿宋_GB2312"/>
          <w:sz w:val="24"/>
          <w:u w:val="single"/>
          <w:lang w:val="en-US" w:eastAsia="zh-CN"/>
        </w:rPr>
        <w:t>/专用章</w:t>
      </w:r>
      <w:r>
        <w:rPr>
          <w:rFonts w:hint="eastAsia" w:ascii="仿宋_GB2312" w:hAnsi="仿宋_GB2312" w:eastAsia="仿宋_GB2312" w:cs="仿宋_GB2312"/>
          <w:sz w:val="24"/>
          <w:u w:val="single"/>
        </w:rPr>
        <w:t>）</w:t>
      </w:r>
    </w:p>
    <w:p>
      <w:pPr>
        <w:widowControl/>
        <w:spacing w:line="360" w:lineRule="auto"/>
        <w:jc w:val="both"/>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法定代表人</w:t>
      </w:r>
      <w:r>
        <w:rPr>
          <w:rFonts w:hint="eastAsia" w:ascii="仿宋_GB2312" w:hAnsi="仿宋_GB2312" w:eastAsia="仿宋_GB2312" w:cs="仿宋_GB2312"/>
          <w:sz w:val="24"/>
          <w:lang w:eastAsia="zh-CN"/>
        </w:rPr>
        <w:t>（签字）</w:t>
      </w:r>
      <w:r>
        <w:rPr>
          <w:rFonts w:hint="eastAsia" w:ascii="仿宋_GB2312" w:hAnsi="仿宋_GB2312" w:eastAsia="仿宋_GB2312" w:cs="仿宋_GB2312"/>
          <w:sz w:val="24"/>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p>
    <w:p>
      <w:pPr>
        <w:widowControl/>
        <w:spacing w:line="360" w:lineRule="auto"/>
        <w:jc w:val="both"/>
        <w:rPr>
          <w:rFonts w:hint="eastAsia" w:ascii="仿宋_GB2312" w:hAnsi="仿宋_GB2312" w:eastAsia="仿宋_GB2312" w:cs="仿宋_GB2312"/>
          <w:sz w:val="24"/>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委托代理人</w:t>
      </w:r>
      <w:r>
        <w:rPr>
          <w:rFonts w:hint="eastAsia" w:ascii="仿宋_GB2312" w:hAnsi="仿宋_GB2312" w:eastAsia="仿宋_GB2312" w:cs="仿宋_GB2312"/>
          <w:sz w:val="24"/>
          <w:lang w:eastAsia="zh-CN"/>
        </w:rPr>
        <w:t>（签字）</w:t>
      </w:r>
      <w:r>
        <w:rPr>
          <w:rFonts w:hint="eastAsia" w:ascii="仿宋_GB2312" w:hAnsi="仿宋_GB2312" w:eastAsia="仿宋_GB2312" w:cs="仿宋_GB2312"/>
          <w:sz w:val="24"/>
        </w:rPr>
        <w:t>：</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u w:val="single"/>
        </w:rPr>
        <w:t xml:space="preserve">      </w:t>
      </w:r>
    </w:p>
    <w:p>
      <w:pPr>
        <w:widowControl/>
        <w:spacing w:line="360" w:lineRule="auto"/>
        <w:ind w:right="-260" w:rightChars="-124"/>
        <w:jc w:val="both"/>
        <w:rPr>
          <w:rFonts w:hint="eastAsia" w:ascii="仿宋_GB2312" w:hAnsi="仿宋_GB2312" w:eastAsia="仿宋_GB2312" w:cs="仿宋_GB2312"/>
          <w:sz w:val="24"/>
          <w:u w:val="single"/>
          <w:lang w:val="en-US" w:eastAsia="zh-CN"/>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联系电话：</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p>
    <w:p>
      <w:pPr>
        <w:widowControl/>
        <w:spacing w:line="360" w:lineRule="auto"/>
        <w:jc w:val="center"/>
        <w:rPr>
          <w:rFonts w:hint="default" w:ascii="仿宋_GB2312" w:hAnsi="仿宋_GB2312" w:eastAsia="仿宋_GB2312" w:cs="仿宋_GB2312"/>
          <w:sz w:val="24"/>
          <w:u w:val="single"/>
          <w:lang w:val="en-US" w:eastAsia="zh-CN"/>
        </w:rPr>
      </w:pPr>
      <w:r>
        <w:rPr>
          <w:rFonts w:hint="eastAsia" w:ascii="仿宋_GB2312" w:hAnsi="仿宋_GB2312" w:eastAsia="仿宋_GB2312" w:cs="仿宋_GB2312"/>
          <w:sz w:val="24"/>
          <w:lang w:val="en-US" w:eastAsia="zh-CN"/>
        </w:rPr>
        <w:t xml:space="preserve">                                送达地址：</w:t>
      </w:r>
      <w:r>
        <w:rPr>
          <w:rFonts w:hint="eastAsia" w:ascii="仿宋_GB2312" w:hAnsi="仿宋_GB2312" w:eastAsia="仿宋_GB2312" w:cs="仿宋_GB2312"/>
          <w:sz w:val="24"/>
          <w:u w:val="single"/>
          <w:lang w:val="en-US" w:eastAsia="zh-CN"/>
        </w:rPr>
        <w:t xml:space="preserve">（中选后合同及合同履行资料邮寄地址）    </w:t>
      </w:r>
    </w:p>
    <w:p>
      <w:pPr>
        <w:widowControl/>
        <w:spacing w:line="360" w:lineRule="auto"/>
        <w:ind w:firstLine="6480" w:firstLineChars="2700"/>
        <w:jc w:val="right"/>
        <w:rPr>
          <w:rFonts w:hint="eastAsia" w:ascii="仿宋_GB2312" w:hAnsi="仿宋_GB2312" w:eastAsia="仿宋_GB2312" w:cs="仿宋_GB2312"/>
          <w:sz w:val="24"/>
        </w:rPr>
      </w:pP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年</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月</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日</w:t>
      </w:r>
    </w:p>
    <w:p>
      <w:pPr>
        <w:widowControl/>
        <w:spacing w:line="360" w:lineRule="auto"/>
        <w:rPr>
          <w:rFonts w:hint="eastAsia" w:ascii="仿宋_GB2312" w:hAnsi="仿宋_GB2312" w:eastAsia="仿宋_GB2312" w:cs="仿宋_GB2312"/>
          <w:szCs w:val="21"/>
        </w:rPr>
      </w:pPr>
      <w:r>
        <w:rPr>
          <w:rFonts w:hint="eastAsia" w:ascii="仿宋_GB2312" w:hAnsi="仿宋_GB2312" w:eastAsia="仿宋_GB2312" w:cs="仿宋_GB2312"/>
          <w:szCs w:val="21"/>
        </w:rPr>
        <w:t>注：授权委托书适用于法定代表人不亲自报价而委托代理人报价</w:t>
      </w:r>
      <w:r>
        <w:rPr>
          <w:rFonts w:hint="eastAsia" w:ascii="仿宋_GB2312" w:hAnsi="仿宋_GB2312" w:eastAsia="仿宋_GB2312" w:cs="仿宋_GB2312"/>
          <w:szCs w:val="21"/>
          <w:lang w:eastAsia="zh-CN"/>
        </w:rPr>
        <w:t>，</w:t>
      </w:r>
      <w:r>
        <w:rPr>
          <w:rFonts w:hint="eastAsia" w:ascii="仿宋_GB2312" w:hAnsi="仿宋_GB2312" w:eastAsia="仿宋_GB2312" w:cs="仿宋_GB2312"/>
          <w:sz w:val="24"/>
        </w:rPr>
        <w:t>盖单位</w:t>
      </w:r>
      <w:r>
        <w:rPr>
          <w:rFonts w:hint="eastAsia" w:ascii="仿宋_GB2312" w:hAnsi="仿宋_GB2312" w:eastAsia="仿宋_GB2312" w:cs="仿宋_GB2312"/>
          <w:sz w:val="24"/>
          <w:lang w:eastAsia="zh-CN"/>
        </w:rPr>
        <w:t>公</w:t>
      </w:r>
      <w:r>
        <w:rPr>
          <w:rFonts w:hint="eastAsia" w:ascii="仿宋_GB2312" w:hAnsi="仿宋_GB2312" w:eastAsia="仿宋_GB2312" w:cs="仿宋_GB2312"/>
          <w:sz w:val="24"/>
        </w:rPr>
        <w:t>章</w:t>
      </w:r>
      <w:r>
        <w:rPr>
          <w:rFonts w:hint="eastAsia" w:ascii="仿宋_GB2312" w:hAnsi="仿宋_GB2312" w:eastAsia="仿宋_GB2312" w:cs="仿宋_GB2312"/>
          <w:sz w:val="24"/>
          <w:lang w:val="en-US" w:eastAsia="zh-CN"/>
        </w:rPr>
        <w:t>/专用章即视为报价人确认“复印件与原件核对一致”</w:t>
      </w:r>
      <w:r>
        <w:rPr>
          <w:rFonts w:hint="eastAsia" w:ascii="仿宋_GB2312" w:hAnsi="仿宋_GB2312" w:eastAsia="仿宋_GB2312" w:cs="仿宋_GB2312"/>
          <w:szCs w:val="21"/>
        </w:rPr>
        <w:t>。</w:t>
      </w:r>
    </w:p>
    <w:p>
      <w:pPr>
        <w:pStyle w:val="8"/>
      </w:pPr>
    </w:p>
    <w:p>
      <w:pPr>
        <w:pStyle w:val="8"/>
      </w:pPr>
    </w:p>
    <w:p>
      <w:pPr>
        <w:pStyle w:val="8"/>
      </w:pPr>
    </w:p>
    <w:p>
      <w:pPr>
        <w:pStyle w:val="8"/>
      </w:pPr>
    </w:p>
    <w:p>
      <w:pPr>
        <w:adjustRightInd w:val="0"/>
        <w:snapToGrid w:val="0"/>
        <w:jc w:val="center"/>
        <w:rPr>
          <w:rFonts w:hint="eastAsia" w:ascii="方正小标宋简体" w:hAnsi="方正小标宋简体" w:eastAsia="方正小标宋简体" w:cs="方正小标宋简体"/>
          <w:kern w:val="44"/>
          <w:sz w:val="44"/>
          <w:szCs w:val="44"/>
          <w:highlight w:val="yellow"/>
          <w:lang w:val="zh-CN"/>
        </w:rPr>
      </w:pPr>
      <w:r>
        <w:rPr>
          <w:rFonts w:hint="eastAsia" w:ascii="方正小标宋简体" w:hAnsi="方正小标宋简体" w:eastAsia="方正小标宋简体" w:cs="方正小标宋简体"/>
          <w:kern w:val="44"/>
          <w:sz w:val="44"/>
          <w:szCs w:val="44"/>
          <w:lang w:val="zh-CN"/>
        </w:rPr>
        <w:t>承诺书</w:t>
      </w:r>
    </w:p>
    <w:p>
      <w:pPr>
        <w:adjustRightInd w:val="0"/>
        <w:snapToGrid w:val="0"/>
        <w:spacing w:line="300" w:lineRule="auto"/>
        <w:rPr>
          <w:rFonts w:hint="eastAsia" w:ascii="仿宋_GB2312" w:hAnsi="仿宋_GB2312" w:eastAsia="仿宋_GB2312" w:cs="仿宋_GB2312"/>
          <w:sz w:val="24"/>
          <w:highlight w:val="yellow"/>
        </w:rPr>
      </w:pPr>
    </w:p>
    <w:p>
      <w:pPr>
        <w:adjustRightInd w:val="0"/>
        <w:snapToGrid w:val="0"/>
        <w:spacing w:line="300" w:lineRule="auto"/>
        <w:rPr>
          <w:rFonts w:hint="eastAsia" w:ascii="仿宋_GB2312" w:hAnsi="仿宋_GB2312" w:eastAsia="仿宋_GB2312" w:cs="仿宋_GB2312"/>
          <w:b/>
          <w:sz w:val="24"/>
        </w:rPr>
      </w:pPr>
      <w:r>
        <w:rPr>
          <w:rFonts w:hint="eastAsia" w:ascii="宋体" w:hAnsi="宋体" w:cs="Arial"/>
          <w:b/>
          <w:sz w:val="24"/>
        </w:rPr>
        <w:t>致：</w:t>
      </w:r>
      <w:r>
        <w:rPr>
          <w:rFonts w:hint="eastAsia" w:ascii="仿宋_GB2312" w:hAnsi="仿宋_GB2312" w:eastAsia="仿宋_GB2312" w:cs="仿宋_GB2312"/>
          <w:sz w:val="24"/>
          <w:u w:val="single"/>
          <w:lang w:eastAsia="zh-CN"/>
        </w:rPr>
        <w:t>四川泸州川南发电有限责任公司</w:t>
      </w:r>
      <w:r>
        <w:rPr>
          <w:rFonts w:hint="eastAsia" w:ascii="仿宋_GB2312" w:hAnsi="仿宋_GB2312" w:eastAsia="仿宋_GB2312" w:cs="仿宋_GB2312"/>
          <w:b/>
          <w:sz w:val="24"/>
        </w:rPr>
        <w:t>：</w:t>
      </w:r>
    </w:p>
    <w:p>
      <w:pPr>
        <w:numPr>
          <w:ilvl w:val="0"/>
          <w:numId w:val="0"/>
        </w:numPr>
        <w:tabs>
          <w:tab w:val="left" w:pos="900"/>
        </w:tabs>
        <w:adjustRightInd w:val="0"/>
        <w:snapToGrid w:val="0"/>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我公司已充分了解</w:t>
      </w:r>
      <w:r>
        <w:rPr>
          <w:rFonts w:hint="eastAsia" w:ascii="仿宋_GB2312" w:hAnsi="仿宋_GB2312" w:eastAsia="仿宋_GB2312" w:cs="仿宋_GB2312"/>
          <w:sz w:val="24"/>
        </w:rPr>
        <w:t>脱脱硫系统附属设施专项治理</w:t>
      </w:r>
      <w:r>
        <w:rPr>
          <w:rFonts w:hint="eastAsia" w:ascii="仿宋_GB2312" w:hAnsi="仿宋_GB2312" w:eastAsia="仿宋_GB2312" w:cs="仿宋_GB2312"/>
          <w:sz w:val="24"/>
          <w:lang w:eastAsia="zh-CN"/>
        </w:rPr>
        <w:t>项目</w:t>
      </w:r>
      <w:r>
        <w:rPr>
          <w:rFonts w:hint="eastAsia" w:ascii="仿宋_GB2312" w:hAnsi="仿宋_GB2312" w:eastAsia="仿宋_GB2312" w:cs="仿宋_GB2312"/>
          <w:sz w:val="24"/>
          <w:szCs w:val="24"/>
        </w:rPr>
        <w:t>的</w:t>
      </w:r>
      <w:r>
        <w:rPr>
          <w:rFonts w:hint="eastAsia" w:ascii="仿宋_GB2312" w:hAnsi="仿宋_GB2312" w:eastAsia="仿宋_GB2312" w:cs="仿宋_GB2312"/>
          <w:sz w:val="24"/>
          <w:szCs w:val="24"/>
          <w:lang w:eastAsia="zh-CN"/>
        </w:rPr>
        <w:t>全部</w:t>
      </w:r>
      <w:r>
        <w:rPr>
          <w:rFonts w:hint="eastAsia" w:ascii="仿宋_GB2312" w:hAnsi="仿宋_GB2312" w:eastAsia="仿宋_GB2312" w:cs="仿宋_GB2312"/>
          <w:sz w:val="24"/>
          <w:szCs w:val="24"/>
        </w:rPr>
        <w:t>工作内容，并完全了解和理解</w:t>
      </w:r>
      <w:r>
        <w:rPr>
          <w:rFonts w:hint="eastAsia" w:ascii="仿宋_GB2312" w:hAnsi="仿宋_GB2312" w:eastAsia="仿宋_GB2312" w:cs="仿宋_GB2312"/>
          <w:sz w:val="24"/>
          <w:szCs w:val="24"/>
          <w:lang w:eastAsia="zh-CN"/>
        </w:rPr>
        <w:t>竞争性谈判</w:t>
      </w:r>
      <w:r>
        <w:rPr>
          <w:rFonts w:hint="eastAsia" w:ascii="仿宋_GB2312" w:hAnsi="仿宋_GB2312" w:eastAsia="仿宋_GB2312" w:cs="仿宋_GB2312"/>
          <w:sz w:val="24"/>
          <w:szCs w:val="24"/>
        </w:rPr>
        <w:t>文件和技术规范书的要求。我公司同意报价截止之日起90天内本报价一直对我公司具有约束力，并随时被接受。</w:t>
      </w:r>
    </w:p>
    <w:p>
      <w:pPr>
        <w:keepNext w:val="0"/>
        <w:keepLines w:val="0"/>
        <w:pageBreakBefore w:val="0"/>
        <w:widowControl w:val="0"/>
        <w:numPr>
          <w:ilvl w:val="0"/>
          <w:numId w:val="2"/>
        </w:numPr>
        <w:kinsoku/>
        <w:wordWrap/>
        <w:overflowPunct/>
        <w:topLinePunct w:val="0"/>
        <w:autoSpaceDE/>
        <w:autoSpaceDN/>
        <w:bidi w:val="0"/>
        <w:adjustRightInd w:val="0"/>
        <w:spacing w:line="360" w:lineRule="auto"/>
        <w:ind w:left="10" w:leftChars="0" w:right="0" w:rightChars="0" w:firstLine="468" w:firstLineChars="195"/>
        <w:jc w:val="both"/>
        <w:outlineLvl w:val="9"/>
        <w:rPr>
          <w:rFonts w:hint="default" w:ascii="仿宋_GB2312" w:hAnsi="仿宋_GB2312" w:eastAsia="仿宋_GB2312" w:cs="仿宋_GB2312"/>
          <w:sz w:val="24"/>
        </w:rPr>
      </w:pPr>
      <w:r>
        <w:rPr>
          <w:rFonts w:ascii="仿宋_GB2312" w:hAnsi="仿宋_GB2312" w:eastAsia="仿宋_GB2312" w:cs="仿宋_GB2312"/>
          <w:sz w:val="24"/>
        </w:rPr>
        <w:t>承诺我公司财务状况良好，有能力完成本项目，且</w:t>
      </w:r>
      <w:r>
        <w:rPr>
          <w:rFonts w:hint="eastAsia" w:ascii="仿宋_GB2312" w:hAnsi="仿宋_GB2312" w:eastAsia="仿宋_GB2312" w:cs="仿宋_GB2312"/>
          <w:sz w:val="24"/>
        </w:rPr>
        <w:t>未被市场监管部门列入经营异常名录</w:t>
      </w:r>
      <w:r>
        <w:rPr>
          <w:rFonts w:ascii="仿宋_GB2312" w:hAnsi="仿宋_GB2312" w:eastAsia="仿宋_GB2312" w:cs="仿宋_GB2312"/>
          <w:sz w:val="24"/>
        </w:rPr>
        <w:t>。</w:t>
      </w:r>
    </w:p>
    <w:p>
      <w:pPr>
        <w:keepNext w:val="0"/>
        <w:keepLines w:val="0"/>
        <w:pageBreakBefore w:val="0"/>
        <w:widowControl w:val="0"/>
        <w:numPr>
          <w:ilvl w:val="0"/>
          <w:numId w:val="2"/>
        </w:numPr>
        <w:kinsoku/>
        <w:wordWrap/>
        <w:overflowPunct/>
        <w:topLinePunct w:val="0"/>
        <w:autoSpaceDE/>
        <w:autoSpaceDN/>
        <w:bidi w:val="0"/>
        <w:adjustRightInd w:val="0"/>
        <w:spacing w:line="360" w:lineRule="auto"/>
        <w:ind w:left="10" w:leftChars="0" w:right="0" w:rightChars="0" w:firstLine="468" w:firstLineChars="195"/>
        <w:jc w:val="both"/>
        <w:outlineLvl w:val="9"/>
        <w:rPr>
          <w:rFonts w:hint="default" w:ascii="仿宋_GB2312" w:hAnsi="仿宋_GB2312" w:eastAsia="仿宋_GB2312" w:cs="仿宋_GB2312"/>
          <w:sz w:val="24"/>
        </w:rPr>
      </w:pPr>
      <w:r>
        <w:rPr>
          <w:rFonts w:hint="eastAsia" w:ascii="仿宋_GB2312" w:hAnsi="仿宋_GB2312" w:eastAsia="仿宋_GB2312" w:cs="仿宋_GB2312"/>
          <w:sz w:val="24"/>
        </w:rPr>
        <w:t>我</w:t>
      </w:r>
      <w:r>
        <w:rPr>
          <w:rFonts w:hint="eastAsia" w:ascii="仿宋_GB2312" w:hAnsi="仿宋_GB2312" w:eastAsia="仿宋_GB2312" w:cs="仿宋_GB2312"/>
          <w:sz w:val="24"/>
          <w:lang w:eastAsia="zh-CN"/>
        </w:rPr>
        <w:t>公司</w:t>
      </w:r>
      <w:r>
        <w:rPr>
          <w:rFonts w:hint="eastAsia" w:ascii="仿宋_GB2312" w:hAnsi="仿宋_GB2312" w:eastAsia="仿宋_GB2312" w:cs="仿宋_GB2312"/>
          <w:sz w:val="24"/>
        </w:rPr>
        <w:t>理解</w:t>
      </w:r>
      <w:r>
        <w:rPr>
          <w:rFonts w:hint="eastAsia" w:ascii="仿宋_GB2312" w:hAnsi="仿宋_GB2312" w:eastAsia="仿宋_GB2312" w:cs="仿宋_GB2312"/>
          <w:sz w:val="24"/>
          <w:lang w:eastAsia="zh-CN"/>
        </w:rPr>
        <w:t>竞争性谈判</w:t>
      </w:r>
      <w:r>
        <w:rPr>
          <w:rFonts w:hint="eastAsia" w:ascii="仿宋_GB2312" w:hAnsi="仿宋_GB2312" w:eastAsia="仿宋_GB2312" w:cs="仿宋_GB2312"/>
          <w:sz w:val="24"/>
        </w:rPr>
        <w:t>单位并不一定以最低价中选的结果，并不要求对未中选理由做出任何解释</w:t>
      </w:r>
      <w:r>
        <w:rPr>
          <w:rFonts w:ascii="仿宋_GB2312" w:hAnsi="仿宋_GB2312" w:eastAsia="仿宋_GB2312" w:cs="仿宋_GB2312"/>
          <w:sz w:val="24"/>
        </w:rPr>
        <w:t>。</w:t>
      </w:r>
    </w:p>
    <w:p>
      <w:pPr>
        <w:keepNext w:val="0"/>
        <w:keepLines w:val="0"/>
        <w:pageBreakBefore w:val="0"/>
        <w:widowControl w:val="0"/>
        <w:numPr>
          <w:ilvl w:val="0"/>
          <w:numId w:val="2"/>
        </w:numPr>
        <w:kinsoku/>
        <w:wordWrap/>
        <w:overflowPunct/>
        <w:topLinePunct w:val="0"/>
        <w:autoSpaceDE/>
        <w:autoSpaceDN/>
        <w:bidi w:val="0"/>
        <w:adjustRightInd w:val="0"/>
        <w:spacing w:line="360" w:lineRule="auto"/>
        <w:ind w:left="10" w:leftChars="0" w:right="0" w:rightChars="0" w:firstLine="468" w:firstLineChars="195"/>
        <w:jc w:val="both"/>
        <w:outlineLvl w:val="9"/>
        <w:rPr>
          <w:rFonts w:hint="default" w:ascii="仿宋_GB2312" w:hAnsi="仿宋_GB2312" w:eastAsia="仿宋_GB2312" w:cs="仿宋_GB2312"/>
          <w:sz w:val="24"/>
        </w:rPr>
      </w:pPr>
      <w:r>
        <w:rPr>
          <w:rFonts w:ascii="仿宋_GB2312" w:hAnsi="仿宋_GB2312" w:eastAsia="仿宋_GB2312" w:cs="仿宋_GB2312"/>
          <w:sz w:val="24"/>
        </w:rPr>
        <w:t>若因我公司原因导致的工期延误，我公司承诺按合同条款要求进行赔偿，结算时从工程款中扣减。</w:t>
      </w:r>
    </w:p>
    <w:p>
      <w:pPr>
        <w:keepNext w:val="0"/>
        <w:keepLines w:val="0"/>
        <w:pageBreakBefore w:val="0"/>
        <w:widowControl w:val="0"/>
        <w:numPr>
          <w:ilvl w:val="0"/>
          <w:numId w:val="2"/>
        </w:numPr>
        <w:kinsoku/>
        <w:wordWrap/>
        <w:overflowPunct/>
        <w:topLinePunct w:val="0"/>
        <w:autoSpaceDE/>
        <w:autoSpaceDN/>
        <w:bidi w:val="0"/>
        <w:adjustRightInd w:val="0"/>
        <w:spacing w:line="360" w:lineRule="auto"/>
        <w:ind w:left="10" w:leftChars="0" w:right="0" w:rightChars="0" w:firstLine="468" w:firstLineChars="195"/>
        <w:jc w:val="both"/>
        <w:outlineLvl w:val="9"/>
        <w:rPr>
          <w:rFonts w:hint="default" w:ascii="仿宋_GB2312" w:hAnsi="仿宋_GB2312" w:eastAsia="仿宋_GB2312" w:cs="仿宋_GB2312"/>
          <w:sz w:val="24"/>
        </w:rPr>
      </w:pPr>
      <w:r>
        <w:rPr>
          <w:rFonts w:ascii="仿宋_GB2312" w:hAnsi="仿宋_GB2312" w:eastAsia="仿宋_GB2312" w:cs="仿宋_GB2312"/>
          <w:sz w:val="24"/>
        </w:rPr>
        <w:t>我公司承诺严格按照我方提供的技术方案和采购人采购文件要求施工，并接受监督及验收。</w:t>
      </w:r>
    </w:p>
    <w:p>
      <w:pPr>
        <w:numPr>
          <w:ilvl w:val="0"/>
          <w:numId w:val="2"/>
        </w:numPr>
        <w:tabs>
          <w:tab w:val="left" w:pos="900"/>
        </w:tabs>
        <w:adjustRightInd w:val="0"/>
        <w:snapToGrid w:val="0"/>
        <w:spacing w:line="360" w:lineRule="auto"/>
        <w:ind w:left="10" w:leftChars="0" w:firstLine="468" w:firstLineChars="195"/>
        <w:rPr>
          <w:rFonts w:ascii="仿宋_GB2312" w:hAnsi="仿宋_GB2312" w:eastAsia="仿宋_GB2312" w:cs="仿宋_GB2312"/>
          <w:sz w:val="24"/>
        </w:rPr>
      </w:pPr>
      <w:r>
        <w:rPr>
          <w:rFonts w:hint="eastAsia" w:ascii="仿宋_GB2312" w:hAnsi="仿宋_GB2312" w:eastAsia="仿宋_GB2312" w:cs="仿宋_GB2312"/>
          <w:sz w:val="24"/>
        </w:rPr>
        <w:t>若中选，我方自收到贵方中选通知书之日起，同贵方成立本项目的合同关系，并将按照</w:t>
      </w:r>
      <w:r>
        <w:rPr>
          <w:rFonts w:hint="eastAsia" w:ascii="仿宋_GB2312" w:hAnsi="仿宋_GB2312" w:eastAsia="仿宋_GB2312" w:cs="仿宋_GB2312"/>
          <w:sz w:val="24"/>
          <w:lang w:eastAsia="zh-CN"/>
        </w:rPr>
        <w:t>竞争性谈判</w:t>
      </w:r>
      <w:r>
        <w:rPr>
          <w:rFonts w:hint="eastAsia" w:ascii="仿宋_GB2312" w:hAnsi="仿宋_GB2312" w:eastAsia="仿宋_GB2312" w:cs="仿宋_GB2312"/>
          <w:sz w:val="24"/>
        </w:rPr>
        <w:t>文件的具体规定与</w:t>
      </w:r>
      <w:r>
        <w:rPr>
          <w:rFonts w:hint="eastAsia" w:ascii="仿宋_GB2312" w:hAnsi="仿宋_GB2312" w:eastAsia="仿宋_GB2312" w:cs="仿宋_GB2312"/>
          <w:sz w:val="24"/>
          <w:lang w:eastAsia="zh-CN"/>
        </w:rPr>
        <w:t>竞争性谈判</w:t>
      </w:r>
      <w:r>
        <w:rPr>
          <w:rFonts w:hint="eastAsia" w:ascii="仿宋_GB2312" w:hAnsi="仿宋_GB2312" w:eastAsia="仿宋_GB2312" w:cs="仿宋_GB2312"/>
          <w:sz w:val="24"/>
        </w:rPr>
        <w:t>人签订书面经济合同，严格履行合同义务，</w:t>
      </w:r>
      <w:r>
        <w:rPr>
          <w:rFonts w:hint="eastAsia" w:ascii="仿宋_GB2312" w:hAnsi="仿宋_GB2312" w:eastAsia="仿宋_GB2312" w:cs="仿宋_GB2312"/>
          <w:sz w:val="24"/>
          <w:lang w:eastAsia="zh-CN"/>
        </w:rPr>
        <w:t>。</w:t>
      </w:r>
      <w:r>
        <w:rPr>
          <w:rFonts w:hint="eastAsia" w:ascii="仿宋_GB2312" w:hAnsi="仿宋_GB2312" w:eastAsia="仿宋_GB2312" w:cs="仿宋_GB2312"/>
          <w:sz w:val="24"/>
        </w:rPr>
        <w:t>按时为工程提供优质的服务和成果。如果在合同执行过程中出现服务质量问题，我方承诺尽快更换/退货，并承担相应的经济责任。</w:t>
      </w:r>
    </w:p>
    <w:p>
      <w:pPr>
        <w:numPr>
          <w:ilvl w:val="0"/>
          <w:numId w:val="2"/>
        </w:numPr>
        <w:tabs>
          <w:tab w:val="left" w:pos="900"/>
        </w:tabs>
        <w:adjustRightInd w:val="0"/>
        <w:snapToGrid w:val="0"/>
        <w:spacing w:line="360" w:lineRule="auto"/>
        <w:ind w:left="10" w:leftChars="0" w:firstLine="468" w:firstLineChars="195"/>
        <w:rPr>
          <w:rFonts w:ascii="仿宋_GB2312" w:hAnsi="仿宋_GB2312" w:eastAsia="仿宋_GB2312" w:cs="仿宋_GB2312"/>
          <w:sz w:val="24"/>
        </w:rPr>
      </w:pPr>
      <w:r>
        <w:rPr>
          <w:rFonts w:hint="eastAsia" w:ascii="仿宋_GB2312" w:hAnsi="仿宋_GB2312" w:eastAsia="仿宋_GB2312" w:cs="仿宋_GB2312"/>
          <w:sz w:val="24"/>
          <w:lang w:eastAsia="zh-CN"/>
        </w:rPr>
        <w:t>若中选，因我方原因未按竞争性谈判文件要求与贵方签订书面合同，贵方有权扣除我方的报价保证金。</w:t>
      </w:r>
    </w:p>
    <w:p>
      <w:pPr>
        <w:numPr>
          <w:ilvl w:val="0"/>
          <w:numId w:val="2"/>
        </w:numPr>
        <w:tabs>
          <w:tab w:val="left" w:pos="900"/>
        </w:tabs>
        <w:adjustRightInd w:val="0"/>
        <w:snapToGrid w:val="0"/>
        <w:spacing w:line="360" w:lineRule="auto"/>
        <w:ind w:left="10" w:leftChars="0" w:firstLine="468" w:firstLineChars="195"/>
        <w:rPr>
          <w:rFonts w:hint="eastAsia" w:ascii="仿宋_GB2312" w:hAnsi="仿宋_GB2312" w:eastAsia="仿宋_GB2312" w:cs="仿宋_GB2312"/>
          <w:bCs/>
          <w:color w:val="auto"/>
          <w:sz w:val="24"/>
          <w:szCs w:val="24"/>
          <w:lang w:val="en-US" w:eastAsia="zh-CN"/>
        </w:rPr>
      </w:pPr>
      <w:r>
        <w:rPr>
          <w:rFonts w:hint="eastAsia" w:ascii="仿宋_GB2312" w:hAnsi="仿宋_GB2312" w:eastAsia="仿宋_GB2312" w:cs="仿宋_GB2312"/>
          <w:color w:val="auto"/>
          <w:sz w:val="24"/>
        </w:rPr>
        <w:t>在整个</w:t>
      </w:r>
      <w:r>
        <w:rPr>
          <w:rFonts w:hint="eastAsia" w:ascii="仿宋_GB2312" w:hAnsi="仿宋_GB2312" w:eastAsia="仿宋_GB2312" w:cs="仿宋_GB2312"/>
          <w:color w:val="auto"/>
          <w:sz w:val="24"/>
          <w:lang w:eastAsia="zh-CN"/>
        </w:rPr>
        <w:t>竞争性谈判</w:t>
      </w:r>
      <w:r>
        <w:rPr>
          <w:rFonts w:hint="eastAsia" w:ascii="仿宋_GB2312" w:hAnsi="仿宋_GB2312" w:eastAsia="仿宋_GB2312" w:cs="仿宋_GB2312"/>
          <w:color w:val="auto"/>
          <w:sz w:val="24"/>
        </w:rPr>
        <w:t>过程中，我方若有违规行为，贵方可按</w:t>
      </w:r>
      <w:r>
        <w:rPr>
          <w:rFonts w:hint="eastAsia" w:ascii="仿宋_GB2312" w:hAnsi="仿宋_GB2312" w:eastAsia="仿宋_GB2312" w:cs="仿宋_GB2312"/>
          <w:color w:val="auto"/>
          <w:sz w:val="24"/>
          <w:lang w:eastAsia="zh-CN"/>
        </w:rPr>
        <w:t>竞争性谈判</w:t>
      </w:r>
      <w:r>
        <w:rPr>
          <w:rFonts w:hint="eastAsia" w:ascii="仿宋_GB2312" w:hAnsi="仿宋_GB2312" w:eastAsia="仿宋_GB2312" w:cs="仿宋_GB2312"/>
          <w:color w:val="auto"/>
          <w:sz w:val="24"/>
        </w:rPr>
        <w:t>文件之规定给予惩罚，我方完全接受</w:t>
      </w:r>
      <w:r>
        <w:rPr>
          <w:rFonts w:hint="eastAsia" w:ascii="仿宋_GB2312" w:hAnsi="仿宋_GB2312" w:eastAsia="仿宋_GB2312" w:cs="仿宋_GB2312"/>
          <w:bCs/>
          <w:color w:val="auto"/>
          <w:sz w:val="24"/>
          <w:szCs w:val="24"/>
          <w:lang w:val="en-US" w:eastAsia="zh-CN"/>
        </w:rPr>
        <w:t>。</w:t>
      </w:r>
    </w:p>
    <w:p>
      <w:pPr>
        <w:tabs>
          <w:tab w:val="left" w:pos="900"/>
        </w:tabs>
        <w:adjustRightInd w:val="0"/>
        <w:snapToGrid w:val="0"/>
        <w:ind w:firstLine="480"/>
        <w:jc w:val="both"/>
        <w:outlineLvl w:val="9"/>
        <w:rPr>
          <w:rFonts w:hint="eastAsia" w:ascii="仿宋_GB2312" w:hAnsi="仿宋_GB2312" w:eastAsia="仿宋_GB2312" w:cs="仿宋_GB2312"/>
          <w:sz w:val="24"/>
          <w:szCs w:val="24"/>
          <w:lang w:val="en-US" w:eastAsia="zh-CN"/>
        </w:rPr>
      </w:pPr>
    </w:p>
    <w:p>
      <w:pPr>
        <w:widowControl/>
        <w:snapToGrid w:val="0"/>
        <w:spacing w:line="360" w:lineRule="auto"/>
        <w:rPr>
          <w:rFonts w:hint="eastAsia" w:ascii="仿宋_GB2312" w:hAnsi="仿宋_GB2312" w:eastAsia="仿宋_GB2312" w:cs="仿宋_GB2312"/>
          <w:sz w:val="24"/>
          <w:szCs w:val="24"/>
        </w:rPr>
      </w:pPr>
      <w:bookmarkStart w:id="10" w:name="OLE_LINK8"/>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报价人：</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（盖单位</w:t>
      </w:r>
      <w:r>
        <w:rPr>
          <w:rFonts w:hint="eastAsia" w:ascii="仿宋_GB2312" w:hAnsi="仿宋_GB2312" w:eastAsia="仿宋_GB2312" w:cs="仿宋_GB2312"/>
          <w:sz w:val="24"/>
          <w:szCs w:val="24"/>
          <w:lang w:eastAsia="zh-CN"/>
        </w:rPr>
        <w:t>公</w:t>
      </w:r>
      <w:r>
        <w:rPr>
          <w:rFonts w:hint="eastAsia" w:ascii="仿宋_GB2312" w:hAnsi="仿宋_GB2312" w:eastAsia="仿宋_GB2312" w:cs="仿宋_GB2312"/>
          <w:sz w:val="24"/>
          <w:szCs w:val="24"/>
        </w:rPr>
        <w:t>章）</w:t>
      </w:r>
    </w:p>
    <w:p>
      <w:pPr>
        <w:widowControl/>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法定代表人或其委托代理人</w:t>
      </w:r>
      <w:r>
        <w:rPr>
          <w:rFonts w:hint="eastAsia" w:ascii="仿宋_GB2312" w:hAnsi="仿宋_GB2312" w:eastAsia="仿宋_GB2312" w:cs="仿宋_GB2312"/>
          <w:sz w:val="24"/>
          <w:szCs w:val="24"/>
          <w:lang w:eastAsia="zh-CN"/>
        </w:rPr>
        <w:t>（签字）</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val="en-US" w:eastAsia="zh-CN"/>
        </w:rPr>
        <w:t xml:space="preserve">     </w:t>
      </w:r>
    </w:p>
    <w:p>
      <w:pPr>
        <w:snapToGrid w:val="0"/>
        <w:spacing w:line="360" w:lineRule="auto"/>
        <w:jc w:val="righ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日</w:t>
      </w:r>
    </w:p>
    <w:bookmarkEnd w:id="10"/>
    <w:p>
      <w:pPr>
        <w:pStyle w:val="8"/>
      </w:pPr>
    </w:p>
    <w:sectPr>
      <w:footerReference r:id="rId3" w:type="default"/>
      <w:pgSz w:w="11906" w:h="16838"/>
      <w:pgMar w:top="720" w:right="720" w:bottom="720" w:left="720"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133987"/>
    <w:multiLevelType w:val="singleLevel"/>
    <w:tmpl w:val="5D133987"/>
    <w:lvl w:ilvl="0" w:tentative="0">
      <w:start w:val="1"/>
      <w:numFmt w:val="decimal"/>
      <w:suff w:val="space"/>
      <w:lvlText w:val="%1."/>
      <w:lvlJc w:val="left"/>
    </w:lvl>
  </w:abstractNum>
  <w:abstractNum w:abstractNumId="1">
    <w:nsid w:val="62B12895"/>
    <w:multiLevelType w:val="singleLevel"/>
    <w:tmpl w:val="62B12895"/>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5MjEyNmI2M2VlODMyZWZlMzFhOWEzYmY0YTNiZWEifQ=="/>
  </w:docVars>
  <w:rsids>
    <w:rsidRoot w:val="15DF504A"/>
    <w:rsid w:val="02531003"/>
    <w:rsid w:val="02602777"/>
    <w:rsid w:val="02800BC8"/>
    <w:rsid w:val="02FA7EEB"/>
    <w:rsid w:val="04807241"/>
    <w:rsid w:val="05604538"/>
    <w:rsid w:val="05965135"/>
    <w:rsid w:val="077C2D93"/>
    <w:rsid w:val="0A4C3311"/>
    <w:rsid w:val="0DEA0E63"/>
    <w:rsid w:val="0E5D6740"/>
    <w:rsid w:val="0F580979"/>
    <w:rsid w:val="111A4481"/>
    <w:rsid w:val="12F422EA"/>
    <w:rsid w:val="153D46A3"/>
    <w:rsid w:val="15DF504A"/>
    <w:rsid w:val="1A0F7BE0"/>
    <w:rsid w:val="1C1F10C3"/>
    <w:rsid w:val="1C6449AB"/>
    <w:rsid w:val="1CBB5978"/>
    <w:rsid w:val="1CFB7298"/>
    <w:rsid w:val="1D986635"/>
    <w:rsid w:val="22FA0AA4"/>
    <w:rsid w:val="252834D7"/>
    <w:rsid w:val="27AC59D6"/>
    <w:rsid w:val="28020AF0"/>
    <w:rsid w:val="29CD74B5"/>
    <w:rsid w:val="2BEB3C1D"/>
    <w:rsid w:val="2C2476D3"/>
    <w:rsid w:val="2E1348A7"/>
    <w:rsid w:val="303F0F53"/>
    <w:rsid w:val="32DB47FF"/>
    <w:rsid w:val="34257C99"/>
    <w:rsid w:val="36DF7C46"/>
    <w:rsid w:val="3B3F4030"/>
    <w:rsid w:val="3BC304E2"/>
    <w:rsid w:val="3C5A4946"/>
    <w:rsid w:val="3E736356"/>
    <w:rsid w:val="3F557BCC"/>
    <w:rsid w:val="3F9D5840"/>
    <w:rsid w:val="3FC23F6C"/>
    <w:rsid w:val="3FF366D5"/>
    <w:rsid w:val="4045089D"/>
    <w:rsid w:val="406212F8"/>
    <w:rsid w:val="408238AE"/>
    <w:rsid w:val="424F6006"/>
    <w:rsid w:val="480B6C99"/>
    <w:rsid w:val="48267AC5"/>
    <w:rsid w:val="4ACA7F95"/>
    <w:rsid w:val="4B434DA7"/>
    <w:rsid w:val="4B785CE8"/>
    <w:rsid w:val="4B801311"/>
    <w:rsid w:val="4D635A48"/>
    <w:rsid w:val="4DB72290"/>
    <w:rsid w:val="4DE411E5"/>
    <w:rsid w:val="4EE20E5B"/>
    <w:rsid w:val="4F2C2F93"/>
    <w:rsid w:val="516F13BD"/>
    <w:rsid w:val="52512A9C"/>
    <w:rsid w:val="53192EF6"/>
    <w:rsid w:val="53B41B60"/>
    <w:rsid w:val="53BA2E6A"/>
    <w:rsid w:val="54067363"/>
    <w:rsid w:val="540768C7"/>
    <w:rsid w:val="543D59C1"/>
    <w:rsid w:val="57AB0E67"/>
    <w:rsid w:val="58480C90"/>
    <w:rsid w:val="589B4EA0"/>
    <w:rsid w:val="59F5307C"/>
    <w:rsid w:val="5AFC259D"/>
    <w:rsid w:val="5DCB798D"/>
    <w:rsid w:val="61327432"/>
    <w:rsid w:val="63A20927"/>
    <w:rsid w:val="63A62063"/>
    <w:rsid w:val="6728328C"/>
    <w:rsid w:val="6C1626E0"/>
    <w:rsid w:val="6CCA2011"/>
    <w:rsid w:val="6DB15030"/>
    <w:rsid w:val="6EAC4723"/>
    <w:rsid w:val="6FAD57CB"/>
    <w:rsid w:val="6FBD14C1"/>
    <w:rsid w:val="70C05DA2"/>
    <w:rsid w:val="727D7FDA"/>
    <w:rsid w:val="72F778DF"/>
    <w:rsid w:val="73B40A19"/>
    <w:rsid w:val="763F1851"/>
    <w:rsid w:val="76E81026"/>
    <w:rsid w:val="7B4D4CA9"/>
    <w:rsid w:val="7CEB288B"/>
    <w:rsid w:val="7F416A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0" w:lineRule="auto"/>
      <w:outlineLvl w:val="1"/>
    </w:pPr>
    <w:rPr>
      <w:rFonts w:ascii="Arial" w:hAnsi="Arial" w:eastAsia="黑体" w:cs="Arial"/>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Normal Indent"/>
    <w:basedOn w:val="1"/>
    <w:next w:val="1"/>
    <w:qFormat/>
    <w:uiPriority w:val="0"/>
    <w:pPr>
      <w:adjustRightInd w:val="0"/>
      <w:spacing w:line="360" w:lineRule="atLeast"/>
      <w:ind w:firstLine="420"/>
      <w:jc w:val="left"/>
      <w:textAlignment w:val="baseline"/>
    </w:pPr>
    <w:rPr>
      <w:kern w:val="0"/>
      <w:sz w:val="24"/>
      <w:szCs w:val="20"/>
    </w:rPr>
  </w:style>
  <w:style w:type="paragraph" w:styleId="5">
    <w:name w:val="footer"/>
    <w:basedOn w:val="1"/>
    <w:qFormat/>
    <w:uiPriority w:val="0"/>
    <w:pPr>
      <w:tabs>
        <w:tab w:val="center" w:pos="4153"/>
        <w:tab w:val="right" w:pos="8306"/>
      </w:tabs>
      <w:snapToGrid w:val="0"/>
      <w:jc w:val="left"/>
    </w:pPr>
    <w:rPr>
      <w:sz w:val="18"/>
    </w:rPr>
  </w:style>
  <w:style w:type="paragraph" w:customStyle="1" w:styleId="8">
    <w:name w:val="表格文字2"/>
    <w:basedOn w:val="1"/>
    <w:qFormat/>
    <w:uiPriority w:val="0"/>
    <w:pPr>
      <w:jc w:val="left"/>
    </w:pPr>
    <w:rPr>
      <w:bCs/>
      <w:spacing w:val="10"/>
      <w:kern w:val="0"/>
    </w:rPr>
  </w:style>
  <w:style w:type="character" w:customStyle="1" w:styleId="9">
    <w:name w:val="font61"/>
    <w:basedOn w:val="7"/>
    <w:qFormat/>
    <w:uiPriority w:val="0"/>
    <w:rPr>
      <w:rFonts w:hint="eastAsia" w:ascii="宋体" w:hAnsi="宋体" w:eastAsia="宋体" w:cs="宋体"/>
      <w:color w:val="FF0000"/>
      <w:sz w:val="22"/>
      <w:szCs w:val="22"/>
      <w:u w:val="none"/>
    </w:rPr>
  </w:style>
  <w:style w:type="paragraph" w:customStyle="1" w:styleId="10">
    <w:name w:val=" Char"/>
    <w:basedOn w:val="1"/>
    <w:qFormat/>
    <w:uiPriority w:val="0"/>
  </w:style>
  <w:style w:type="character" w:customStyle="1" w:styleId="11">
    <w:name w:val="15"/>
    <w:basedOn w:val="7"/>
    <w:qFormat/>
    <w:uiPriority w:val="0"/>
    <w:rPr>
      <w:rFonts w:hint="default" w:ascii="Calibri" w:hAnsi="Calibri" w:cs="Calibr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Office_11.8.6.11829_F1E327BC-269C-435d-A152-05C5408002CA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2023-07-28T05:38:00Z</dcterms:created>
  <dc:creator>刘继行</dc:creator>
  <cp:lastModifiedBy>刘继行</cp:lastModifiedBy>
  <cp:lastPrinted>2024-02-21T07:42:00Z</cp:lastPrinted>
  <dcterms:modified xsi:type="dcterms:W3CDTF">2024-05-07T05:56:27Z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2052-11.8.6.11829</vt:lpwstr>
  </property>
  <property fmtid="{D5CDD505-2E9C-101B-9397-08002B2CF9AE}" pid="3" name="ICV">
    <vt:lpwstr>21186A5B8932486E9F9C3FDE247C0568</vt:lpwstr>
  </property>
</Properties>
</file>