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961" w:hanging="961"/>
        <w:jc w:val="center"/>
        <w:rPr>
          <w:rFonts w:hint="default" w:ascii="Times New Roman" w:hAnsi="Times New Roman" w:cs="Times New Roman"/>
          <w:b/>
          <w:bCs/>
          <w:sz w:val="48"/>
          <w:szCs w:val="48"/>
        </w:rPr>
      </w:pPr>
      <w:r>
        <w:rPr>
          <w:rFonts w:hint="default" w:ascii="Times New Roman" w:hAnsi="Times New Roman" w:cs="Times New Roman"/>
          <w:b/>
          <w:bCs/>
          <w:sz w:val="48"/>
          <w:szCs w:val="48"/>
        </w:rPr>
        <w:t xml:space="preserve"> </w:t>
      </w:r>
    </w:p>
    <w:p>
      <w:pPr>
        <w:spacing w:line="360" w:lineRule="auto"/>
        <w:ind w:left="961" w:hanging="961"/>
        <w:jc w:val="center"/>
        <w:rPr>
          <w:rFonts w:hint="default" w:ascii="Times New Roman" w:hAnsi="Times New Roman" w:cs="Times New Roman"/>
          <w:b/>
          <w:bCs/>
          <w:sz w:val="32"/>
          <w:szCs w:val="32"/>
        </w:rPr>
      </w:pPr>
      <w:r>
        <w:rPr>
          <w:rFonts w:hint="default" w:ascii="Times New Roman" w:hAnsi="Times New Roman" w:cs="Times New Roman"/>
          <w:b/>
          <w:bCs/>
          <w:sz w:val="32"/>
          <w:szCs w:val="32"/>
        </w:rPr>
        <w:t>四川泸州川南发电有限责任公司2×600MW机组</w:t>
      </w:r>
    </w:p>
    <w:p>
      <w:pPr>
        <w:spacing w:line="360" w:lineRule="auto"/>
        <w:ind w:left="961" w:hanging="961"/>
        <w:jc w:val="center"/>
        <w:rPr>
          <w:rFonts w:hint="default" w:ascii="Times New Roman" w:hAnsi="Times New Roman" w:cs="Times New Roman"/>
          <w:b/>
          <w:bCs/>
          <w:sz w:val="48"/>
          <w:szCs w:val="48"/>
        </w:rPr>
      </w:pPr>
    </w:p>
    <w:p>
      <w:pPr>
        <w:spacing w:line="360" w:lineRule="auto"/>
        <w:ind w:left="961" w:hanging="961"/>
        <w:jc w:val="center"/>
        <w:rPr>
          <w:rFonts w:hint="default" w:ascii="Times New Roman" w:hAnsi="Times New Roman" w:cs="Times New Roman"/>
          <w:b/>
          <w:bCs/>
          <w:sz w:val="48"/>
          <w:szCs w:val="48"/>
        </w:rPr>
      </w:pPr>
    </w:p>
    <w:p>
      <w:pPr>
        <w:spacing w:line="360" w:lineRule="auto"/>
        <w:ind w:left="961" w:hanging="961"/>
        <w:jc w:val="center"/>
        <w:rPr>
          <w:rFonts w:hint="default" w:ascii="Times New Roman" w:hAnsi="Times New Roman" w:cs="Times New Roman"/>
          <w:b/>
          <w:bCs/>
          <w:sz w:val="48"/>
          <w:szCs w:val="48"/>
        </w:rPr>
      </w:pPr>
    </w:p>
    <w:p>
      <w:pPr>
        <w:spacing w:before="120" w:line="360" w:lineRule="auto"/>
        <w:jc w:val="center"/>
        <w:rPr>
          <w:rFonts w:hint="default" w:ascii="Times New Roman" w:hAnsi="Times New Roman" w:cs="Times New Roman"/>
          <w:b/>
          <w:bCs/>
          <w:sz w:val="44"/>
          <w:szCs w:val="44"/>
          <w:lang w:val="en-US" w:eastAsia="zh-CN"/>
        </w:rPr>
      </w:pPr>
      <w:r>
        <w:rPr>
          <w:rFonts w:hint="default" w:ascii="Times New Roman" w:hAnsi="Times New Roman" w:cs="Times New Roman"/>
          <w:b/>
          <w:bCs/>
          <w:sz w:val="44"/>
          <w:szCs w:val="44"/>
        </w:rPr>
        <w:t>脱硫系统</w:t>
      </w:r>
      <w:r>
        <w:rPr>
          <w:rFonts w:hint="eastAsia" w:cs="Times New Roman"/>
          <w:b/>
          <w:bCs/>
          <w:sz w:val="44"/>
          <w:szCs w:val="44"/>
          <w:lang w:val="en-US" w:eastAsia="zh-CN"/>
        </w:rPr>
        <w:t>附属</w:t>
      </w:r>
      <w:r>
        <w:rPr>
          <w:rFonts w:hint="default" w:ascii="Times New Roman" w:hAnsi="Times New Roman" w:cs="Times New Roman"/>
          <w:b/>
          <w:bCs/>
          <w:sz w:val="44"/>
          <w:szCs w:val="44"/>
          <w:lang w:val="en-US" w:eastAsia="zh-CN"/>
        </w:rPr>
        <w:t>设施</w:t>
      </w:r>
      <w:r>
        <w:rPr>
          <w:rFonts w:hint="eastAsia" w:cs="Times New Roman"/>
          <w:b/>
          <w:bCs/>
          <w:sz w:val="44"/>
          <w:szCs w:val="44"/>
          <w:lang w:val="en-US" w:eastAsia="zh-CN"/>
        </w:rPr>
        <w:t>专项</w:t>
      </w:r>
      <w:r>
        <w:rPr>
          <w:rFonts w:hint="default" w:ascii="Times New Roman" w:hAnsi="Times New Roman" w:cs="Times New Roman"/>
          <w:b/>
          <w:bCs/>
          <w:sz w:val="44"/>
          <w:szCs w:val="44"/>
        </w:rPr>
        <w:t>治理</w:t>
      </w:r>
    </w:p>
    <w:p>
      <w:pPr>
        <w:spacing w:before="120" w:line="360" w:lineRule="auto"/>
        <w:jc w:val="center"/>
        <w:rPr>
          <w:rFonts w:hint="default" w:ascii="Times New Roman" w:hAnsi="Times New Roman" w:cs="Times New Roman"/>
          <w:b/>
          <w:bCs/>
          <w:sz w:val="44"/>
          <w:szCs w:val="44"/>
        </w:rPr>
      </w:pPr>
      <w:r>
        <w:rPr>
          <w:rFonts w:hint="default" w:ascii="Times New Roman" w:hAnsi="Times New Roman" w:cs="Times New Roman"/>
          <w:b/>
          <w:bCs/>
          <w:sz w:val="44"/>
          <w:szCs w:val="44"/>
        </w:rPr>
        <w:t>技术规范书</w:t>
      </w:r>
    </w:p>
    <w:p>
      <w:pPr>
        <w:spacing w:line="360" w:lineRule="auto"/>
        <w:ind w:left="961" w:hanging="961"/>
        <w:jc w:val="center"/>
        <w:rPr>
          <w:rFonts w:hint="default" w:ascii="Times New Roman" w:hAnsi="Times New Roman" w:cs="Times New Roman"/>
          <w:b/>
          <w:bCs/>
          <w:sz w:val="48"/>
          <w:szCs w:val="48"/>
        </w:rPr>
      </w:pPr>
    </w:p>
    <w:p>
      <w:pPr>
        <w:spacing w:line="360" w:lineRule="auto"/>
        <w:ind w:left="961" w:hanging="961"/>
        <w:jc w:val="center"/>
        <w:rPr>
          <w:rFonts w:hint="default" w:ascii="Times New Roman" w:hAnsi="Times New Roman" w:cs="Times New Roman"/>
          <w:b/>
          <w:bCs/>
          <w:sz w:val="48"/>
          <w:szCs w:val="48"/>
        </w:rPr>
      </w:pPr>
    </w:p>
    <w:p>
      <w:pPr>
        <w:spacing w:line="360" w:lineRule="auto"/>
        <w:ind w:left="961" w:hanging="961"/>
        <w:jc w:val="center"/>
        <w:rPr>
          <w:rFonts w:hint="default" w:ascii="Times New Roman" w:hAnsi="Times New Roman" w:cs="Times New Roman"/>
          <w:b/>
          <w:bCs/>
          <w:sz w:val="48"/>
          <w:szCs w:val="48"/>
        </w:rPr>
      </w:pPr>
    </w:p>
    <w:p>
      <w:pPr>
        <w:spacing w:line="360" w:lineRule="auto"/>
        <w:ind w:left="961" w:hanging="961"/>
        <w:jc w:val="center"/>
        <w:rPr>
          <w:rFonts w:hint="default" w:ascii="Times New Roman" w:hAnsi="Times New Roman" w:cs="Times New Roman"/>
          <w:b/>
          <w:bCs/>
          <w:sz w:val="48"/>
          <w:szCs w:val="48"/>
        </w:rPr>
      </w:pPr>
    </w:p>
    <w:p>
      <w:pPr>
        <w:spacing w:line="360" w:lineRule="auto"/>
        <w:ind w:left="961" w:hanging="961"/>
        <w:jc w:val="center"/>
        <w:rPr>
          <w:rFonts w:hint="default" w:ascii="Times New Roman" w:hAnsi="Times New Roman" w:cs="Times New Roman"/>
          <w:b/>
          <w:bCs/>
          <w:sz w:val="48"/>
          <w:szCs w:val="48"/>
        </w:rPr>
      </w:pPr>
    </w:p>
    <w:p>
      <w:pPr>
        <w:spacing w:line="460" w:lineRule="exact"/>
        <w:jc w:val="center"/>
        <w:rPr>
          <w:rFonts w:hint="default" w:ascii="Times New Roman" w:hAnsi="Times New Roman" w:cs="Times New Roman"/>
          <w:b/>
          <w:bCs/>
          <w:sz w:val="44"/>
          <w:szCs w:val="44"/>
        </w:rPr>
      </w:pPr>
    </w:p>
    <w:p>
      <w:pPr>
        <w:spacing w:line="460" w:lineRule="exact"/>
        <w:jc w:val="center"/>
        <w:rPr>
          <w:rFonts w:hint="default" w:ascii="Times New Roman" w:hAnsi="Times New Roman" w:cs="Times New Roman"/>
          <w:b/>
          <w:bCs/>
          <w:sz w:val="44"/>
          <w:szCs w:val="44"/>
        </w:rPr>
      </w:pPr>
    </w:p>
    <w:p>
      <w:pPr>
        <w:spacing w:line="460" w:lineRule="exact"/>
        <w:jc w:val="center"/>
        <w:rPr>
          <w:rFonts w:hint="default" w:ascii="Times New Roman" w:hAnsi="Times New Roman" w:cs="Times New Roman"/>
          <w:b/>
          <w:bCs/>
          <w:sz w:val="44"/>
          <w:szCs w:val="44"/>
        </w:rPr>
      </w:pPr>
    </w:p>
    <w:p>
      <w:pPr>
        <w:spacing w:line="460" w:lineRule="exact"/>
        <w:jc w:val="center"/>
        <w:rPr>
          <w:rFonts w:hint="default" w:ascii="Times New Roman" w:hAnsi="Times New Roman" w:cs="Times New Roman"/>
          <w:b/>
          <w:bCs/>
          <w:sz w:val="44"/>
          <w:szCs w:val="44"/>
        </w:rPr>
      </w:pPr>
    </w:p>
    <w:p>
      <w:pPr>
        <w:spacing w:line="460" w:lineRule="exact"/>
        <w:jc w:val="center"/>
        <w:rPr>
          <w:rFonts w:hint="default" w:ascii="Times New Roman" w:hAnsi="Times New Roman" w:cs="Times New Roman"/>
          <w:b/>
          <w:bCs/>
          <w:sz w:val="44"/>
          <w:szCs w:val="44"/>
        </w:rPr>
      </w:pPr>
    </w:p>
    <w:p>
      <w:pPr>
        <w:spacing w:line="460" w:lineRule="exact"/>
        <w:jc w:val="center"/>
        <w:rPr>
          <w:rFonts w:hint="default" w:ascii="Times New Roman" w:hAnsi="Times New Roman" w:cs="Times New Roman"/>
          <w:sz w:val="36"/>
          <w:szCs w:val="36"/>
        </w:rPr>
      </w:pPr>
    </w:p>
    <w:p>
      <w:pPr>
        <w:spacing w:line="460" w:lineRule="exact"/>
        <w:jc w:val="center"/>
        <w:rPr>
          <w:rFonts w:hint="default" w:ascii="Times New Roman" w:hAnsi="Times New Roman" w:cs="Times New Roman"/>
          <w:sz w:val="36"/>
          <w:szCs w:val="36"/>
        </w:rPr>
      </w:pPr>
    </w:p>
    <w:p>
      <w:pPr>
        <w:spacing w:line="460" w:lineRule="exact"/>
        <w:jc w:val="center"/>
        <w:rPr>
          <w:rFonts w:hint="default" w:ascii="Times New Roman" w:hAnsi="Times New Roman" w:cs="Times New Roman"/>
          <w:sz w:val="36"/>
          <w:szCs w:val="36"/>
        </w:rPr>
      </w:pPr>
    </w:p>
    <w:p>
      <w:pPr>
        <w:spacing w:line="460" w:lineRule="exact"/>
        <w:jc w:val="center"/>
        <w:rPr>
          <w:rFonts w:hint="default" w:ascii="Times New Roman" w:hAnsi="Times New Roman" w:cs="Times New Roman"/>
          <w:sz w:val="36"/>
          <w:szCs w:val="36"/>
        </w:rPr>
      </w:pPr>
    </w:p>
    <w:p>
      <w:pPr>
        <w:spacing w:line="460" w:lineRule="exact"/>
        <w:jc w:val="center"/>
        <w:rPr>
          <w:rFonts w:hint="default" w:ascii="Times New Roman" w:hAnsi="Times New Roman" w:eastAsia="黑体" w:cs="Times New Roman"/>
          <w:sz w:val="28"/>
          <w:szCs w:val="28"/>
        </w:rPr>
      </w:pPr>
      <w:r>
        <w:rPr>
          <w:rFonts w:hint="default" w:ascii="Times New Roman" w:hAnsi="Times New Roman" w:eastAsia="黑体" w:cs="Times New Roman"/>
          <w:sz w:val="28"/>
          <w:szCs w:val="28"/>
        </w:rPr>
        <w:t>二〇二</w:t>
      </w:r>
      <w:r>
        <w:rPr>
          <w:rFonts w:hint="default" w:ascii="Times New Roman" w:hAnsi="Times New Roman" w:eastAsia="黑体" w:cs="Times New Roman"/>
          <w:sz w:val="28"/>
          <w:szCs w:val="28"/>
          <w:lang w:val="en-US" w:eastAsia="zh-CN"/>
        </w:rPr>
        <w:t>四年</w:t>
      </w:r>
      <w:r>
        <w:rPr>
          <w:rFonts w:hint="eastAsia" w:eastAsia="黑体" w:cs="Times New Roman"/>
          <w:sz w:val="28"/>
          <w:szCs w:val="28"/>
          <w:lang w:val="en-US" w:eastAsia="zh-CN"/>
        </w:rPr>
        <w:t>四</w:t>
      </w:r>
      <w:r>
        <w:rPr>
          <w:rFonts w:hint="default" w:ascii="Times New Roman" w:hAnsi="Times New Roman" w:eastAsia="黑体" w:cs="Times New Roman"/>
          <w:sz w:val="28"/>
          <w:szCs w:val="28"/>
        </w:rPr>
        <w:t>月</w:t>
      </w:r>
    </w:p>
    <w:p>
      <w:pPr>
        <w:spacing w:line="460" w:lineRule="exact"/>
        <w:jc w:val="center"/>
        <w:rPr>
          <w:rFonts w:hint="default" w:ascii="Times New Roman" w:hAnsi="Times New Roman" w:eastAsia="黑体" w:cs="Times New Roman"/>
          <w:sz w:val="28"/>
          <w:szCs w:val="28"/>
        </w:rPr>
      </w:pPr>
      <w:r>
        <w:rPr>
          <w:rFonts w:hint="default" w:ascii="Times New Roman" w:hAnsi="Times New Roman" w:eastAsia="黑体" w:cs="Times New Roman"/>
          <w:sz w:val="28"/>
          <w:szCs w:val="28"/>
        </w:rPr>
        <w:t>四川泸州川南发电有限责任公司</w:t>
      </w:r>
    </w:p>
    <w:p>
      <w:pPr>
        <w:spacing w:line="460" w:lineRule="exact"/>
        <w:jc w:val="center"/>
        <w:rPr>
          <w:rFonts w:hint="default" w:ascii="Times New Roman" w:hAnsi="Times New Roman" w:eastAsia="黑体" w:cs="Times New Roman"/>
          <w:sz w:val="36"/>
          <w:szCs w:val="36"/>
        </w:rPr>
        <w:sectPr>
          <w:footerReference r:id="rId5" w:type="first"/>
          <w:footerReference r:id="rId3" w:type="default"/>
          <w:footerReference r:id="rId4" w:type="even"/>
          <w:pgSz w:w="11906" w:h="16838"/>
          <w:pgMar w:top="1440" w:right="1797" w:bottom="1440" w:left="1797" w:header="720" w:footer="720" w:gutter="0"/>
          <w:pgBorders>
            <w:top w:val="none" w:sz="0" w:space="0"/>
            <w:left w:val="none" w:sz="0" w:space="0"/>
            <w:bottom w:val="none" w:sz="0" w:space="0"/>
            <w:right w:val="none" w:sz="0" w:space="0"/>
          </w:pgBorders>
          <w:pgNumType w:fmt="decimal"/>
          <w:cols w:space="720" w:num="1"/>
          <w:docGrid w:type="lines" w:linePitch="312" w:charSpace="0"/>
        </w:sectPr>
      </w:pPr>
    </w:p>
    <w:sdt>
      <w:sdtPr>
        <w:rPr>
          <w:rFonts w:ascii="宋体" w:hAnsi="宋体" w:eastAsia="宋体" w:cs="Times New Roman"/>
          <w:kern w:val="2"/>
          <w:sz w:val="21"/>
          <w:szCs w:val="21"/>
          <w:lang w:val="en-US" w:eastAsia="zh-CN" w:bidi="ar-SA"/>
        </w:rPr>
        <w:id w:val="147481021"/>
        <w:docPartObj>
          <w:docPartGallery w:val="Table of Contents"/>
          <w:docPartUnique/>
        </w:docPartObj>
      </w:sdtPr>
      <w:sdtEndPr>
        <w:rPr>
          <w:rFonts w:hint="default" w:ascii="Times New Roman" w:hAnsi="Times New Roman" w:cs="Times New Roman" w:eastAsiaTheme="minorEastAsia"/>
          <w:kern w:val="2"/>
          <w:sz w:val="24"/>
          <w:szCs w:val="24"/>
          <w:lang w:val="en-US" w:eastAsia="zh-CN" w:bidi="ar-SA"/>
        </w:rPr>
      </w:sdtEndPr>
      <w:sdtContent>
        <w:p>
          <w:pPr>
            <w:keepNext w:val="0"/>
            <w:keepLines w:val="0"/>
            <w:pageBreakBefore w:val="0"/>
            <w:kinsoku/>
            <w:wordWrap/>
            <w:overflowPunct/>
            <w:topLinePunct w:val="0"/>
            <w:autoSpaceDE/>
            <w:autoSpaceDN/>
            <w:bidi w:val="0"/>
            <w:adjustRightInd/>
            <w:snapToGrid/>
            <w:spacing w:before="0" w:beforeLines="0" w:after="0" w:afterLines="0" w:line="360" w:lineRule="auto"/>
            <w:ind w:left="0" w:leftChars="0" w:right="0" w:rightChars="0" w:firstLine="0" w:firstLineChars="0"/>
            <w:jc w:val="center"/>
            <w:textAlignment w:val="auto"/>
            <w:rPr>
              <w:rFonts w:hint="eastAsia" w:ascii="方正小标宋_GBK" w:hAnsi="方正小标宋_GBK" w:eastAsia="方正小标宋_GBK" w:cs="方正小标宋_GBK"/>
              <w:sz w:val="36"/>
              <w:szCs w:val="36"/>
            </w:rPr>
          </w:pPr>
          <w:bookmarkStart w:id="0" w:name="_Toc31936_WPSOffice_Type1"/>
          <w:r>
            <w:rPr>
              <w:rFonts w:hint="eastAsia" w:ascii="方正小标宋_GBK" w:hAnsi="方正小标宋_GBK" w:eastAsia="方正小标宋_GBK" w:cs="方正小标宋_GBK"/>
              <w:sz w:val="36"/>
              <w:szCs w:val="36"/>
            </w:rPr>
            <w:t>目</w:t>
          </w:r>
          <w:r>
            <w:rPr>
              <w:rFonts w:hint="eastAsia" w:ascii="方正小标宋_GBK" w:hAnsi="方正小标宋_GBK" w:eastAsia="方正小标宋_GBK" w:cs="方正小标宋_GBK"/>
              <w:sz w:val="36"/>
              <w:szCs w:val="36"/>
              <w:lang w:val="en-US" w:eastAsia="zh-CN"/>
            </w:rPr>
            <w:t xml:space="preserve">  </w:t>
          </w:r>
          <w:r>
            <w:rPr>
              <w:rFonts w:hint="eastAsia" w:ascii="方正小标宋_GBK" w:hAnsi="方正小标宋_GBK" w:eastAsia="方正小标宋_GBK" w:cs="方正小标宋_GBK"/>
              <w:sz w:val="36"/>
              <w:szCs w:val="36"/>
            </w:rPr>
            <w:t>录</w:t>
          </w:r>
        </w:p>
        <w:p>
          <w:pPr>
            <w:pStyle w:val="21"/>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fldChar w:fldCharType="begin"/>
          </w:r>
          <w:r>
            <w:rPr>
              <w:rFonts w:hint="default" w:ascii="Times New Roman" w:hAnsi="Times New Roman" w:cs="Times New Roman" w:eastAsiaTheme="minorEastAsia"/>
              <w:sz w:val="24"/>
              <w:szCs w:val="24"/>
            </w:rPr>
            <w:instrText xml:space="preserve"> HYPERLINK \l _Toc24667_WPSOffice_Level1 </w:instrText>
          </w:r>
          <w:r>
            <w:rPr>
              <w:rFonts w:hint="default" w:ascii="Times New Roman" w:hAnsi="Times New Roman" w:cs="Times New Roman" w:eastAsiaTheme="minorEastAsia"/>
              <w:sz w:val="24"/>
              <w:szCs w:val="24"/>
            </w:rPr>
            <w:fldChar w:fldCharType="separate"/>
          </w:r>
          <w:sdt>
            <w:sdtPr>
              <w:rPr>
                <w:rFonts w:hint="default" w:ascii="Times New Roman" w:hAnsi="Times New Roman" w:cs="Times New Roman" w:eastAsiaTheme="minorEastAsia"/>
                <w:kern w:val="2"/>
                <w:sz w:val="24"/>
                <w:szCs w:val="24"/>
                <w:lang w:val="en-US" w:eastAsia="zh-CN" w:bidi="ar-SA"/>
              </w:rPr>
              <w:id w:val="147481021"/>
              <w:placeholder>
                <w:docPart w:val="{35f769bb-109f-40e6-ba5b-5082843af148}"/>
              </w:placeholder>
            </w:sdtPr>
            <w:sdtEndPr>
              <w:rPr>
                <w:rFonts w:hint="default" w:ascii="Times New Roman" w:hAnsi="Times New Roman" w:cs="Times New Roman" w:eastAsiaTheme="minorEastAsia"/>
                <w:kern w:val="2"/>
                <w:sz w:val="24"/>
                <w:szCs w:val="24"/>
                <w:lang w:val="en-US" w:eastAsia="zh-CN" w:bidi="ar-SA"/>
              </w:rPr>
            </w:sdtEndPr>
            <w:sdtContent>
              <w:r>
                <w:rPr>
                  <w:rFonts w:hint="default" w:ascii="Times New Roman" w:hAnsi="Times New Roman" w:cs="Times New Roman" w:eastAsiaTheme="minorEastAsia"/>
                  <w:sz w:val="24"/>
                  <w:szCs w:val="24"/>
                </w:rPr>
                <w:t>1 总则</w:t>
              </w:r>
            </w:sdtContent>
          </w:sdt>
          <w:r>
            <w:rPr>
              <w:rFonts w:hint="default" w:ascii="Times New Roman" w:hAnsi="Times New Roman" w:cs="Times New Roman" w:eastAsiaTheme="minorEastAsia"/>
              <w:sz w:val="24"/>
              <w:szCs w:val="24"/>
            </w:rPr>
            <w:tab/>
          </w:r>
          <w:bookmarkStart w:id="1" w:name="_Toc24667_WPSOffice_Level1Page"/>
          <w:r>
            <w:rPr>
              <w:rFonts w:hint="default" w:ascii="Times New Roman" w:hAnsi="Times New Roman" w:cs="Times New Roman" w:eastAsiaTheme="minorEastAsia"/>
              <w:sz w:val="24"/>
              <w:szCs w:val="24"/>
            </w:rPr>
            <w:t>1</w:t>
          </w:r>
          <w:bookmarkEnd w:id="1"/>
          <w:r>
            <w:rPr>
              <w:rFonts w:hint="default" w:ascii="Times New Roman" w:hAnsi="Times New Roman" w:cs="Times New Roman" w:eastAsiaTheme="minorEastAsia"/>
              <w:sz w:val="24"/>
              <w:szCs w:val="24"/>
            </w:rPr>
            <w:fldChar w:fldCharType="end"/>
          </w:r>
        </w:p>
        <w:p>
          <w:pPr>
            <w:pStyle w:val="21"/>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fldChar w:fldCharType="begin"/>
          </w:r>
          <w:r>
            <w:rPr>
              <w:rFonts w:hint="default" w:ascii="Times New Roman" w:hAnsi="Times New Roman" w:cs="Times New Roman" w:eastAsiaTheme="minorEastAsia"/>
              <w:sz w:val="24"/>
              <w:szCs w:val="24"/>
            </w:rPr>
            <w:instrText xml:space="preserve"> HYPERLINK \l _Toc31936_WPSOffice_Level1 </w:instrText>
          </w:r>
          <w:r>
            <w:rPr>
              <w:rFonts w:hint="default" w:ascii="Times New Roman" w:hAnsi="Times New Roman" w:cs="Times New Roman" w:eastAsiaTheme="minorEastAsia"/>
              <w:sz w:val="24"/>
              <w:szCs w:val="24"/>
            </w:rPr>
            <w:fldChar w:fldCharType="separate"/>
          </w:r>
          <w:sdt>
            <w:sdtPr>
              <w:rPr>
                <w:rFonts w:hint="default" w:ascii="Times New Roman" w:hAnsi="Times New Roman" w:cs="Times New Roman" w:eastAsiaTheme="minorEastAsia"/>
                <w:kern w:val="2"/>
                <w:sz w:val="24"/>
                <w:szCs w:val="24"/>
                <w:lang w:val="en-US" w:eastAsia="zh-CN" w:bidi="ar-SA"/>
              </w:rPr>
              <w:id w:val="147481021"/>
              <w:placeholder>
                <w:docPart w:val="{b925b3ff-1e49-4101-999f-6f7e77728114}"/>
              </w:placeholder>
            </w:sdtPr>
            <w:sdtEndPr>
              <w:rPr>
                <w:rFonts w:hint="default" w:ascii="Times New Roman" w:hAnsi="Times New Roman" w:cs="Times New Roman" w:eastAsiaTheme="minorEastAsia"/>
                <w:kern w:val="2"/>
                <w:sz w:val="24"/>
                <w:szCs w:val="24"/>
                <w:lang w:val="en-US" w:eastAsia="zh-CN" w:bidi="ar-SA"/>
              </w:rPr>
            </w:sdtEndPr>
            <w:sdtContent>
              <w:r>
                <w:rPr>
                  <w:rFonts w:hint="default" w:ascii="Times New Roman" w:hAnsi="Times New Roman" w:cs="Times New Roman" w:eastAsiaTheme="minorEastAsia"/>
                  <w:sz w:val="24"/>
                  <w:szCs w:val="24"/>
                </w:rPr>
                <w:t>2 工程概况</w:t>
              </w:r>
            </w:sdtContent>
          </w:sdt>
          <w:r>
            <w:rPr>
              <w:rFonts w:hint="default" w:ascii="Times New Roman" w:hAnsi="Times New Roman" w:cs="Times New Roman" w:eastAsiaTheme="minorEastAsia"/>
              <w:sz w:val="24"/>
              <w:szCs w:val="24"/>
            </w:rPr>
            <w:tab/>
          </w:r>
          <w:bookmarkStart w:id="2" w:name="_Toc31936_WPSOffice_Level1Page"/>
          <w:r>
            <w:rPr>
              <w:rFonts w:hint="default" w:ascii="Times New Roman" w:hAnsi="Times New Roman" w:cs="Times New Roman" w:eastAsiaTheme="minorEastAsia"/>
              <w:sz w:val="24"/>
              <w:szCs w:val="24"/>
            </w:rPr>
            <w:t>2</w:t>
          </w:r>
          <w:bookmarkEnd w:id="2"/>
          <w:r>
            <w:rPr>
              <w:rFonts w:hint="default" w:ascii="Times New Roman" w:hAnsi="Times New Roman" w:cs="Times New Roman" w:eastAsiaTheme="minorEastAsia"/>
              <w:sz w:val="24"/>
              <w:szCs w:val="24"/>
            </w:rPr>
            <w:fldChar w:fldCharType="end"/>
          </w:r>
        </w:p>
        <w:p>
          <w:pPr>
            <w:pStyle w:val="21"/>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fldChar w:fldCharType="begin"/>
          </w:r>
          <w:r>
            <w:rPr>
              <w:rFonts w:hint="default" w:ascii="Times New Roman" w:hAnsi="Times New Roman" w:cs="Times New Roman" w:eastAsiaTheme="minorEastAsia"/>
              <w:sz w:val="24"/>
              <w:szCs w:val="24"/>
            </w:rPr>
            <w:instrText xml:space="preserve"> HYPERLINK \l _Toc10753_WPSOffice_Level1 </w:instrText>
          </w:r>
          <w:r>
            <w:rPr>
              <w:rFonts w:hint="default" w:ascii="Times New Roman" w:hAnsi="Times New Roman" w:cs="Times New Roman" w:eastAsiaTheme="minorEastAsia"/>
              <w:sz w:val="24"/>
              <w:szCs w:val="24"/>
            </w:rPr>
            <w:fldChar w:fldCharType="separate"/>
          </w:r>
          <w:sdt>
            <w:sdtPr>
              <w:rPr>
                <w:rFonts w:hint="default" w:ascii="Times New Roman" w:hAnsi="Times New Roman" w:cs="Times New Roman" w:eastAsiaTheme="minorEastAsia"/>
                <w:kern w:val="2"/>
                <w:sz w:val="24"/>
                <w:szCs w:val="24"/>
                <w:lang w:val="en-US" w:eastAsia="zh-CN" w:bidi="ar-SA"/>
              </w:rPr>
              <w:id w:val="147481021"/>
              <w:placeholder>
                <w:docPart w:val="{473cd3d7-664a-414f-9beb-b5d2aa328b8e}"/>
              </w:placeholder>
            </w:sdtPr>
            <w:sdtEndPr>
              <w:rPr>
                <w:rFonts w:hint="default" w:ascii="Times New Roman" w:hAnsi="Times New Roman" w:cs="Times New Roman" w:eastAsiaTheme="minorEastAsia"/>
                <w:kern w:val="2"/>
                <w:sz w:val="24"/>
                <w:szCs w:val="24"/>
                <w:lang w:val="en-US" w:eastAsia="zh-CN" w:bidi="ar-SA"/>
              </w:rPr>
            </w:sdtEndPr>
            <w:sdtContent>
              <w:r>
                <w:rPr>
                  <w:rFonts w:hint="default" w:ascii="Times New Roman" w:hAnsi="Times New Roman" w:cs="Times New Roman" w:eastAsiaTheme="minorEastAsia"/>
                  <w:sz w:val="24"/>
                  <w:szCs w:val="24"/>
                </w:rPr>
                <w:t>3 编制依据</w:t>
              </w:r>
            </w:sdtContent>
          </w:sdt>
          <w:r>
            <w:rPr>
              <w:rFonts w:hint="default" w:ascii="Times New Roman" w:hAnsi="Times New Roman" w:cs="Times New Roman" w:eastAsiaTheme="minorEastAsia"/>
              <w:sz w:val="24"/>
              <w:szCs w:val="24"/>
            </w:rPr>
            <w:tab/>
          </w:r>
          <w:bookmarkStart w:id="3" w:name="_Toc10753_WPSOffice_Level1Page"/>
          <w:r>
            <w:rPr>
              <w:rFonts w:hint="default" w:ascii="Times New Roman" w:hAnsi="Times New Roman" w:cs="Times New Roman" w:eastAsiaTheme="minorEastAsia"/>
              <w:sz w:val="24"/>
              <w:szCs w:val="24"/>
            </w:rPr>
            <w:t>3</w:t>
          </w:r>
          <w:bookmarkEnd w:id="3"/>
          <w:r>
            <w:rPr>
              <w:rFonts w:hint="default" w:ascii="Times New Roman" w:hAnsi="Times New Roman" w:cs="Times New Roman" w:eastAsiaTheme="minorEastAsia"/>
              <w:sz w:val="24"/>
              <w:szCs w:val="24"/>
            </w:rPr>
            <w:fldChar w:fldCharType="end"/>
          </w:r>
        </w:p>
        <w:p>
          <w:pPr>
            <w:pStyle w:val="21"/>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fldChar w:fldCharType="begin"/>
          </w:r>
          <w:r>
            <w:rPr>
              <w:rFonts w:hint="default" w:ascii="Times New Roman" w:hAnsi="Times New Roman" w:cs="Times New Roman" w:eastAsiaTheme="minorEastAsia"/>
              <w:sz w:val="24"/>
              <w:szCs w:val="24"/>
            </w:rPr>
            <w:instrText xml:space="preserve"> HYPERLINK \l _Toc28415_WPSOffice_Level1 </w:instrText>
          </w:r>
          <w:r>
            <w:rPr>
              <w:rFonts w:hint="default" w:ascii="Times New Roman" w:hAnsi="Times New Roman" w:cs="Times New Roman" w:eastAsiaTheme="minorEastAsia"/>
              <w:sz w:val="24"/>
              <w:szCs w:val="24"/>
            </w:rPr>
            <w:fldChar w:fldCharType="separate"/>
          </w:r>
          <w:sdt>
            <w:sdtPr>
              <w:rPr>
                <w:rFonts w:hint="default" w:ascii="Times New Roman" w:hAnsi="Times New Roman" w:cs="Times New Roman" w:eastAsiaTheme="minorEastAsia"/>
                <w:kern w:val="2"/>
                <w:sz w:val="24"/>
                <w:szCs w:val="24"/>
                <w:lang w:val="en-US" w:eastAsia="zh-CN" w:bidi="ar-SA"/>
              </w:rPr>
              <w:id w:val="147481021"/>
              <w:placeholder>
                <w:docPart w:val="{a42598c1-cdd3-44b5-94ce-b282ff5bc58e}"/>
              </w:placeholder>
            </w:sdtPr>
            <w:sdtEndPr>
              <w:rPr>
                <w:rFonts w:hint="default" w:ascii="Times New Roman" w:hAnsi="Times New Roman" w:cs="Times New Roman" w:eastAsiaTheme="minorEastAsia"/>
                <w:kern w:val="2"/>
                <w:sz w:val="24"/>
                <w:szCs w:val="24"/>
                <w:lang w:val="en-US" w:eastAsia="zh-CN" w:bidi="ar-SA"/>
              </w:rPr>
            </w:sdtEndPr>
            <w:sdtContent>
              <w:r>
                <w:rPr>
                  <w:rFonts w:hint="default" w:ascii="Times New Roman" w:hAnsi="Times New Roman" w:cs="Times New Roman" w:eastAsiaTheme="minorEastAsia"/>
                  <w:sz w:val="24"/>
                  <w:szCs w:val="24"/>
                </w:rPr>
                <w:t>4 投标方施工的范围及内容</w:t>
              </w:r>
            </w:sdtContent>
          </w:sdt>
          <w:r>
            <w:rPr>
              <w:rFonts w:hint="default" w:ascii="Times New Roman" w:hAnsi="Times New Roman" w:cs="Times New Roman" w:eastAsiaTheme="minorEastAsia"/>
              <w:sz w:val="24"/>
              <w:szCs w:val="24"/>
            </w:rPr>
            <w:tab/>
          </w:r>
          <w:bookmarkStart w:id="4" w:name="_Toc28415_WPSOffice_Level1Page"/>
          <w:r>
            <w:rPr>
              <w:rFonts w:hint="default" w:ascii="Times New Roman" w:hAnsi="Times New Roman" w:cs="Times New Roman" w:eastAsiaTheme="minorEastAsia"/>
              <w:sz w:val="24"/>
              <w:szCs w:val="24"/>
            </w:rPr>
            <w:t>4</w:t>
          </w:r>
          <w:bookmarkEnd w:id="4"/>
          <w:r>
            <w:rPr>
              <w:rFonts w:hint="default" w:ascii="Times New Roman" w:hAnsi="Times New Roman" w:cs="Times New Roman" w:eastAsiaTheme="minorEastAsia"/>
              <w:sz w:val="24"/>
              <w:szCs w:val="24"/>
            </w:rPr>
            <w:fldChar w:fldCharType="end"/>
          </w:r>
        </w:p>
        <w:p>
          <w:pPr>
            <w:pStyle w:val="21"/>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fldChar w:fldCharType="begin"/>
          </w:r>
          <w:r>
            <w:rPr>
              <w:rFonts w:hint="default" w:ascii="Times New Roman" w:hAnsi="Times New Roman" w:cs="Times New Roman" w:eastAsiaTheme="minorEastAsia"/>
              <w:sz w:val="24"/>
              <w:szCs w:val="24"/>
            </w:rPr>
            <w:instrText xml:space="preserve"> HYPERLINK \l _Toc26863_WPSOffice_Level1 </w:instrText>
          </w:r>
          <w:r>
            <w:rPr>
              <w:rFonts w:hint="default" w:ascii="Times New Roman" w:hAnsi="Times New Roman" w:cs="Times New Roman" w:eastAsiaTheme="minorEastAsia"/>
              <w:sz w:val="24"/>
              <w:szCs w:val="24"/>
            </w:rPr>
            <w:fldChar w:fldCharType="separate"/>
          </w:r>
          <w:sdt>
            <w:sdtPr>
              <w:rPr>
                <w:rFonts w:hint="default" w:ascii="Times New Roman" w:hAnsi="Times New Roman" w:cs="Times New Roman" w:eastAsiaTheme="minorEastAsia"/>
                <w:kern w:val="2"/>
                <w:sz w:val="24"/>
                <w:szCs w:val="24"/>
                <w:lang w:val="en-US" w:eastAsia="zh-CN" w:bidi="ar-SA"/>
              </w:rPr>
              <w:id w:val="147481021"/>
              <w:placeholder>
                <w:docPart w:val="{ae4bf55f-ffc3-4b61-9828-f996be5a911f}"/>
              </w:placeholder>
            </w:sdtPr>
            <w:sdtEndPr>
              <w:rPr>
                <w:rFonts w:hint="default" w:ascii="Times New Roman" w:hAnsi="Times New Roman" w:cs="Times New Roman" w:eastAsiaTheme="minorEastAsia"/>
                <w:kern w:val="2"/>
                <w:sz w:val="24"/>
                <w:szCs w:val="24"/>
                <w:lang w:val="en-US" w:eastAsia="zh-CN" w:bidi="ar-SA"/>
              </w:rPr>
            </w:sdtEndPr>
            <w:sdtContent>
              <w:r>
                <w:rPr>
                  <w:rFonts w:hint="default" w:ascii="Times New Roman" w:hAnsi="Times New Roman" w:cs="Times New Roman" w:eastAsiaTheme="minorEastAsia"/>
                  <w:sz w:val="24"/>
                  <w:szCs w:val="24"/>
                </w:rPr>
                <w:t>5 施工要求及工作配合</w:t>
              </w:r>
            </w:sdtContent>
          </w:sdt>
          <w:r>
            <w:rPr>
              <w:rFonts w:hint="default" w:ascii="Times New Roman" w:hAnsi="Times New Roman" w:cs="Times New Roman" w:eastAsiaTheme="minorEastAsia"/>
              <w:sz w:val="24"/>
              <w:szCs w:val="24"/>
            </w:rPr>
            <w:tab/>
          </w:r>
          <w:bookmarkStart w:id="5" w:name="_Toc26863_WPSOffice_Level1Page"/>
          <w:r>
            <w:rPr>
              <w:rFonts w:hint="default" w:ascii="Times New Roman" w:hAnsi="Times New Roman" w:cs="Times New Roman" w:eastAsiaTheme="minorEastAsia"/>
              <w:sz w:val="24"/>
              <w:szCs w:val="24"/>
            </w:rPr>
            <w:t>5</w:t>
          </w:r>
          <w:bookmarkEnd w:id="5"/>
          <w:r>
            <w:rPr>
              <w:rFonts w:hint="default" w:ascii="Times New Roman" w:hAnsi="Times New Roman" w:cs="Times New Roman" w:eastAsiaTheme="minorEastAsia"/>
              <w:sz w:val="24"/>
              <w:szCs w:val="24"/>
            </w:rPr>
            <w:fldChar w:fldCharType="end"/>
          </w:r>
        </w:p>
        <w:p>
          <w:pPr>
            <w:pStyle w:val="21"/>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fldChar w:fldCharType="begin"/>
          </w:r>
          <w:r>
            <w:rPr>
              <w:rFonts w:hint="default" w:ascii="Times New Roman" w:hAnsi="Times New Roman" w:cs="Times New Roman" w:eastAsiaTheme="minorEastAsia"/>
              <w:sz w:val="24"/>
              <w:szCs w:val="24"/>
            </w:rPr>
            <w:instrText xml:space="preserve"> HYPERLINK \l _Toc21203_WPSOffice_Level1 </w:instrText>
          </w:r>
          <w:r>
            <w:rPr>
              <w:rFonts w:hint="default" w:ascii="Times New Roman" w:hAnsi="Times New Roman" w:cs="Times New Roman" w:eastAsiaTheme="minorEastAsia"/>
              <w:sz w:val="24"/>
              <w:szCs w:val="24"/>
            </w:rPr>
            <w:fldChar w:fldCharType="separate"/>
          </w:r>
          <w:sdt>
            <w:sdtPr>
              <w:rPr>
                <w:rFonts w:hint="default" w:ascii="Times New Roman" w:hAnsi="Times New Roman" w:cs="Times New Roman" w:eastAsiaTheme="minorEastAsia"/>
                <w:kern w:val="2"/>
                <w:sz w:val="24"/>
                <w:szCs w:val="24"/>
                <w:lang w:val="en-US" w:eastAsia="zh-CN" w:bidi="ar-SA"/>
              </w:rPr>
              <w:id w:val="147481021"/>
              <w:placeholder>
                <w:docPart w:val="{7726da65-f607-420e-a019-f919e314fe07}"/>
              </w:placeholder>
            </w:sdtPr>
            <w:sdtEndPr>
              <w:rPr>
                <w:rFonts w:hint="default" w:ascii="Times New Roman" w:hAnsi="Times New Roman" w:cs="Times New Roman" w:eastAsiaTheme="minorEastAsia"/>
                <w:kern w:val="2"/>
                <w:sz w:val="24"/>
                <w:szCs w:val="24"/>
                <w:lang w:val="en-US" w:eastAsia="zh-CN" w:bidi="ar-SA"/>
              </w:rPr>
            </w:sdtEndPr>
            <w:sdtContent>
              <w:r>
                <w:rPr>
                  <w:rFonts w:hint="default" w:ascii="Times New Roman" w:hAnsi="Times New Roman" w:cs="Times New Roman" w:eastAsiaTheme="minorEastAsia"/>
                  <w:sz w:val="24"/>
                  <w:szCs w:val="24"/>
                </w:rPr>
                <w:t>6 质量、工期、资料要求</w:t>
              </w:r>
            </w:sdtContent>
          </w:sdt>
          <w:r>
            <w:rPr>
              <w:rFonts w:hint="default" w:ascii="Times New Roman" w:hAnsi="Times New Roman" w:cs="Times New Roman" w:eastAsiaTheme="minorEastAsia"/>
              <w:sz w:val="24"/>
              <w:szCs w:val="24"/>
            </w:rPr>
            <w:tab/>
          </w:r>
          <w:bookmarkStart w:id="6" w:name="_Toc21203_WPSOffice_Level1Page"/>
          <w:r>
            <w:rPr>
              <w:rFonts w:hint="default" w:ascii="Times New Roman" w:hAnsi="Times New Roman" w:cs="Times New Roman" w:eastAsiaTheme="minorEastAsia"/>
              <w:sz w:val="24"/>
              <w:szCs w:val="24"/>
            </w:rPr>
            <w:t>9</w:t>
          </w:r>
          <w:bookmarkEnd w:id="6"/>
          <w:r>
            <w:rPr>
              <w:rFonts w:hint="default" w:ascii="Times New Roman" w:hAnsi="Times New Roman" w:cs="Times New Roman" w:eastAsiaTheme="minorEastAsia"/>
              <w:sz w:val="24"/>
              <w:szCs w:val="24"/>
            </w:rPr>
            <w:fldChar w:fldCharType="end"/>
          </w:r>
        </w:p>
        <w:p>
          <w:pPr>
            <w:pStyle w:val="21"/>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fldChar w:fldCharType="begin"/>
          </w:r>
          <w:r>
            <w:rPr>
              <w:rFonts w:hint="default" w:ascii="Times New Roman" w:hAnsi="Times New Roman" w:cs="Times New Roman" w:eastAsiaTheme="minorEastAsia"/>
              <w:sz w:val="24"/>
              <w:szCs w:val="24"/>
            </w:rPr>
            <w:instrText xml:space="preserve"> HYPERLINK \l _Toc14016_WPSOffice_Level1 </w:instrText>
          </w:r>
          <w:r>
            <w:rPr>
              <w:rFonts w:hint="default" w:ascii="Times New Roman" w:hAnsi="Times New Roman" w:cs="Times New Roman" w:eastAsiaTheme="minorEastAsia"/>
              <w:sz w:val="24"/>
              <w:szCs w:val="24"/>
            </w:rPr>
            <w:fldChar w:fldCharType="separate"/>
          </w:r>
          <w:sdt>
            <w:sdtPr>
              <w:rPr>
                <w:rFonts w:hint="default" w:ascii="Times New Roman" w:hAnsi="Times New Roman" w:cs="Times New Roman" w:eastAsiaTheme="minorEastAsia"/>
                <w:kern w:val="2"/>
                <w:sz w:val="24"/>
                <w:szCs w:val="24"/>
                <w:lang w:val="en-US" w:eastAsia="zh-CN" w:bidi="ar-SA"/>
              </w:rPr>
              <w:id w:val="147481021"/>
              <w:placeholder>
                <w:docPart w:val="{cb33afeb-b2af-42c5-b4b4-18de81309b1f}"/>
              </w:placeholder>
            </w:sdtPr>
            <w:sdtEndPr>
              <w:rPr>
                <w:rFonts w:hint="default" w:ascii="Times New Roman" w:hAnsi="Times New Roman" w:cs="Times New Roman" w:eastAsiaTheme="minorEastAsia"/>
                <w:kern w:val="2"/>
                <w:sz w:val="24"/>
                <w:szCs w:val="24"/>
                <w:lang w:val="en-US" w:eastAsia="zh-CN" w:bidi="ar-SA"/>
              </w:rPr>
            </w:sdtEndPr>
            <w:sdtContent>
              <w:r>
                <w:rPr>
                  <w:rFonts w:hint="default" w:ascii="Times New Roman" w:hAnsi="Times New Roman" w:cs="Times New Roman" w:eastAsiaTheme="minorEastAsia"/>
                  <w:sz w:val="24"/>
                  <w:szCs w:val="24"/>
                </w:rPr>
                <w:t>7 双方的责任与义务</w:t>
              </w:r>
            </w:sdtContent>
          </w:sdt>
          <w:r>
            <w:rPr>
              <w:rFonts w:hint="default" w:ascii="Times New Roman" w:hAnsi="Times New Roman" w:cs="Times New Roman" w:eastAsiaTheme="minorEastAsia"/>
              <w:sz w:val="24"/>
              <w:szCs w:val="24"/>
            </w:rPr>
            <w:tab/>
          </w:r>
          <w:bookmarkStart w:id="7" w:name="_Toc14016_WPSOffice_Level1Page"/>
          <w:r>
            <w:rPr>
              <w:rFonts w:hint="default" w:ascii="Times New Roman" w:hAnsi="Times New Roman" w:cs="Times New Roman" w:eastAsiaTheme="minorEastAsia"/>
              <w:sz w:val="24"/>
              <w:szCs w:val="24"/>
            </w:rPr>
            <w:t>11</w:t>
          </w:r>
          <w:bookmarkEnd w:id="7"/>
          <w:r>
            <w:rPr>
              <w:rFonts w:hint="default" w:ascii="Times New Roman" w:hAnsi="Times New Roman" w:cs="Times New Roman" w:eastAsiaTheme="minorEastAsia"/>
              <w:sz w:val="24"/>
              <w:szCs w:val="24"/>
            </w:rPr>
            <w:fldChar w:fldCharType="end"/>
          </w:r>
        </w:p>
        <w:p>
          <w:pPr>
            <w:pStyle w:val="21"/>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fldChar w:fldCharType="begin"/>
          </w:r>
          <w:r>
            <w:rPr>
              <w:rFonts w:hint="default" w:ascii="Times New Roman" w:hAnsi="Times New Roman" w:cs="Times New Roman" w:eastAsiaTheme="minorEastAsia"/>
              <w:sz w:val="24"/>
              <w:szCs w:val="24"/>
            </w:rPr>
            <w:instrText xml:space="preserve"> HYPERLINK \l _Toc27677_WPSOffice_Level1 </w:instrText>
          </w:r>
          <w:r>
            <w:rPr>
              <w:rFonts w:hint="default" w:ascii="Times New Roman" w:hAnsi="Times New Roman" w:cs="Times New Roman" w:eastAsiaTheme="minorEastAsia"/>
              <w:sz w:val="24"/>
              <w:szCs w:val="24"/>
            </w:rPr>
            <w:fldChar w:fldCharType="separate"/>
          </w:r>
          <w:sdt>
            <w:sdtPr>
              <w:rPr>
                <w:rFonts w:hint="default" w:ascii="Times New Roman" w:hAnsi="Times New Roman" w:cs="Times New Roman" w:eastAsiaTheme="minorEastAsia"/>
                <w:kern w:val="2"/>
                <w:sz w:val="24"/>
                <w:szCs w:val="24"/>
                <w:lang w:val="en-US" w:eastAsia="zh-CN" w:bidi="ar-SA"/>
              </w:rPr>
              <w:id w:val="147481021"/>
              <w:placeholder>
                <w:docPart w:val="{a6e396cf-d5ab-47f3-ab2b-45cf5c7898ea}"/>
              </w:placeholder>
            </w:sdtPr>
            <w:sdtEndPr>
              <w:rPr>
                <w:rFonts w:hint="default" w:ascii="Times New Roman" w:hAnsi="Times New Roman" w:cs="Times New Roman" w:eastAsiaTheme="minorEastAsia"/>
                <w:kern w:val="2"/>
                <w:sz w:val="24"/>
                <w:szCs w:val="24"/>
                <w:lang w:val="en-US" w:eastAsia="zh-CN" w:bidi="ar-SA"/>
              </w:rPr>
            </w:sdtEndPr>
            <w:sdtContent>
              <w:r>
                <w:rPr>
                  <w:rFonts w:hint="default" w:ascii="Times New Roman" w:hAnsi="Times New Roman" w:cs="Times New Roman" w:eastAsiaTheme="minorEastAsia"/>
                  <w:sz w:val="24"/>
                  <w:szCs w:val="24"/>
                </w:rPr>
                <w:t>8 组织机构及施工体系</w:t>
              </w:r>
            </w:sdtContent>
          </w:sdt>
          <w:r>
            <w:rPr>
              <w:rFonts w:hint="default" w:ascii="Times New Roman" w:hAnsi="Times New Roman" w:cs="Times New Roman" w:eastAsiaTheme="minorEastAsia"/>
              <w:sz w:val="24"/>
              <w:szCs w:val="24"/>
            </w:rPr>
            <w:tab/>
          </w:r>
          <w:bookmarkStart w:id="8" w:name="_Toc27677_WPSOffice_Level1Page"/>
          <w:r>
            <w:rPr>
              <w:rFonts w:hint="default" w:ascii="Times New Roman" w:hAnsi="Times New Roman" w:cs="Times New Roman" w:eastAsiaTheme="minorEastAsia"/>
              <w:sz w:val="24"/>
              <w:szCs w:val="24"/>
            </w:rPr>
            <w:t>12</w:t>
          </w:r>
          <w:bookmarkEnd w:id="8"/>
          <w:r>
            <w:rPr>
              <w:rFonts w:hint="default" w:ascii="Times New Roman" w:hAnsi="Times New Roman" w:cs="Times New Roman" w:eastAsiaTheme="minorEastAsia"/>
              <w:sz w:val="24"/>
              <w:szCs w:val="24"/>
            </w:rPr>
            <w:fldChar w:fldCharType="end"/>
          </w:r>
        </w:p>
        <w:p>
          <w:pPr>
            <w:pStyle w:val="21"/>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fldChar w:fldCharType="begin"/>
          </w:r>
          <w:r>
            <w:rPr>
              <w:rFonts w:hint="default" w:ascii="Times New Roman" w:hAnsi="Times New Roman" w:cs="Times New Roman" w:eastAsiaTheme="minorEastAsia"/>
              <w:sz w:val="24"/>
              <w:szCs w:val="24"/>
            </w:rPr>
            <w:instrText xml:space="preserve"> HYPERLINK \l _Toc5829_WPSOffice_Level1 </w:instrText>
          </w:r>
          <w:r>
            <w:rPr>
              <w:rFonts w:hint="default" w:ascii="Times New Roman" w:hAnsi="Times New Roman" w:cs="Times New Roman" w:eastAsiaTheme="minorEastAsia"/>
              <w:sz w:val="24"/>
              <w:szCs w:val="24"/>
            </w:rPr>
            <w:fldChar w:fldCharType="separate"/>
          </w:r>
          <w:sdt>
            <w:sdtPr>
              <w:rPr>
                <w:rFonts w:hint="default" w:ascii="Times New Roman" w:hAnsi="Times New Roman" w:cs="Times New Roman" w:eastAsiaTheme="minorEastAsia"/>
                <w:kern w:val="2"/>
                <w:sz w:val="24"/>
                <w:szCs w:val="24"/>
                <w:lang w:val="en-US" w:eastAsia="zh-CN" w:bidi="ar-SA"/>
              </w:rPr>
              <w:id w:val="147481021"/>
              <w:placeholder>
                <w:docPart w:val="{7b1dfe15-caac-48c3-b8b5-672b1b0c4df1}"/>
              </w:placeholder>
            </w:sdtPr>
            <w:sdtEndPr>
              <w:rPr>
                <w:rFonts w:hint="default" w:ascii="Times New Roman" w:hAnsi="Times New Roman" w:cs="Times New Roman" w:eastAsiaTheme="minorEastAsia"/>
                <w:kern w:val="2"/>
                <w:sz w:val="24"/>
                <w:szCs w:val="24"/>
                <w:lang w:val="en-US" w:eastAsia="zh-CN" w:bidi="ar-SA"/>
              </w:rPr>
            </w:sdtEndPr>
            <w:sdtContent>
              <w:r>
                <w:rPr>
                  <w:rFonts w:hint="default" w:ascii="Times New Roman" w:hAnsi="Times New Roman" w:cs="Times New Roman" w:eastAsiaTheme="minorEastAsia"/>
                  <w:sz w:val="24"/>
                  <w:szCs w:val="24"/>
                </w:rPr>
                <w:t>9 脱硫系统栏杆、平台、及斜梯（直梯）等治理施工工器具清单</w:t>
              </w:r>
            </w:sdtContent>
          </w:sdt>
          <w:r>
            <w:rPr>
              <w:rFonts w:hint="default" w:ascii="Times New Roman" w:hAnsi="Times New Roman" w:cs="Times New Roman" w:eastAsiaTheme="minorEastAsia"/>
              <w:sz w:val="24"/>
              <w:szCs w:val="24"/>
            </w:rPr>
            <w:tab/>
          </w:r>
          <w:bookmarkStart w:id="9" w:name="_Toc5829_WPSOffice_Level1Page"/>
          <w:r>
            <w:rPr>
              <w:rFonts w:hint="default" w:ascii="Times New Roman" w:hAnsi="Times New Roman" w:cs="Times New Roman" w:eastAsiaTheme="minorEastAsia"/>
              <w:sz w:val="24"/>
              <w:szCs w:val="24"/>
            </w:rPr>
            <w:t>18</w:t>
          </w:r>
          <w:bookmarkEnd w:id="9"/>
          <w:r>
            <w:rPr>
              <w:rFonts w:hint="default" w:ascii="Times New Roman" w:hAnsi="Times New Roman" w:cs="Times New Roman" w:eastAsiaTheme="minorEastAsia"/>
              <w:sz w:val="24"/>
              <w:szCs w:val="24"/>
            </w:rPr>
            <w:fldChar w:fldCharType="end"/>
          </w:r>
        </w:p>
        <w:p>
          <w:pPr>
            <w:pStyle w:val="21"/>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fldChar w:fldCharType="begin"/>
          </w:r>
          <w:r>
            <w:rPr>
              <w:rFonts w:hint="default" w:ascii="Times New Roman" w:hAnsi="Times New Roman" w:cs="Times New Roman" w:eastAsiaTheme="minorEastAsia"/>
              <w:sz w:val="24"/>
              <w:szCs w:val="24"/>
            </w:rPr>
            <w:instrText xml:space="preserve"> HYPERLINK \l _Toc11266_WPSOffice_Level1 </w:instrText>
          </w:r>
          <w:r>
            <w:rPr>
              <w:rFonts w:hint="default" w:ascii="Times New Roman" w:hAnsi="Times New Roman" w:cs="Times New Roman" w:eastAsiaTheme="minorEastAsia"/>
              <w:sz w:val="24"/>
              <w:szCs w:val="24"/>
            </w:rPr>
            <w:fldChar w:fldCharType="separate"/>
          </w:r>
          <w:sdt>
            <w:sdtPr>
              <w:rPr>
                <w:rFonts w:hint="default" w:ascii="Times New Roman" w:hAnsi="Times New Roman" w:cs="Times New Roman" w:eastAsiaTheme="minorEastAsia"/>
                <w:kern w:val="2"/>
                <w:sz w:val="24"/>
                <w:szCs w:val="24"/>
                <w:lang w:val="en-US" w:eastAsia="zh-CN" w:bidi="ar-SA"/>
              </w:rPr>
              <w:id w:val="147481021"/>
              <w:placeholder>
                <w:docPart w:val="{025c3a9c-f813-4740-b843-35dd6224f5c0}"/>
              </w:placeholder>
            </w:sdtPr>
            <w:sdtEndPr>
              <w:rPr>
                <w:rFonts w:hint="default" w:ascii="Times New Roman" w:hAnsi="Times New Roman" w:cs="Times New Roman" w:eastAsiaTheme="minorEastAsia"/>
                <w:kern w:val="2"/>
                <w:sz w:val="24"/>
                <w:szCs w:val="24"/>
                <w:lang w:val="en-US" w:eastAsia="zh-CN" w:bidi="ar-SA"/>
              </w:rPr>
            </w:sdtEndPr>
            <w:sdtContent>
              <w:r>
                <w:rPr>
                  <w:rFonts w:hint="default" w:ascii="Times New Roman" w:hAnsi="Times New Roman" w:cs="Times New Roman" w:eastAsiaTheme="minorEastAsia"/>
                  <w:sz w:val="24"/>
                  <w:szCs w:val="24"/>
                </w:rPr>
                <w:t>附件1：检修质量、进度考核实施细则</w:t>
              </w:r>
            </w:sdtContent>
          </w:sdt>
          <w:r>
            <w:rPr>
              <w:rFonts w:hint="default" w:ascii="Times New Roman" w:hAnsi="Times New Roman" w:cs="Times New Roman" w:eastAsiaTheme="minorEastAsia"/>
              <w:sz w:val="24"/>
              <w:szCs w:val="24"/>
            </w:rPr>
            <w:tab/>
          </w:r>
          <w:bookmarkStart w:id="10" w:name="_Toc11266_WPSOffice_Level1Page"/>
          <w:r>
            <w:rPr>
              <w:rFonts w:hint="default" w:ascii="Times New Roman" w:hAnsi="Times New Roman" w:cs="Times New Roman" w:eastAsiaTheme="minorEastAsia"/>
              <w:sz w:val="24"/>
              <w:szCs w:val="24"/>
            </w:rPr>
            <w:t>20</w:t>
          </w:r>
          <w:bookmarkEnd w:id="10"/>
          <w:r>
            <w:rPr>
              <w:rFonts w:hint="default" w:ascii="Times New Roman" w:hAnsi="Times New Roman" w:cs="Times New Roman" w:eastAsiaTheme="minorEastAsia"/>
              <w:sz w:val="24"/>
              <w:szCs w:val="24"/>
            </w:rPr>
            <w:fldChar w:fldCharType="end"/>
          </w:r>
        </w:p>
        <w:p>
          <w:pPr>
            <w:pStyle w:val="21"/>
            <w:keepNext w:val="0"/>
            <w:keepLines w:val="0"/>
            <w:pageBreakBefore w:val="0"/>
            <w:tabs>
              <w:tab w:val="right" w:leader="dot" w:pos="8312"/>
            </w:tabs>
            <w:kinsoku/>
            <w:wordWrap/>
            <w:overflowPunct/>
            <w:topLinePunct w:val="0"/>
            <w:autoSpaceDE/>
            <w:autoSpaceDN/>
            <w:bidi w:val="0"/>
            <w:adjustRightInd/>
            <w:snapToGrid/>
            <w:spacing w:line="360" w:lineRule="auto"/>
            <w:textAlignment w:val="auto"/>
            <w:rPr>
              <w:rFonts w:hint="default" w:ascii="Times New Roman" w:hAnsi="Times New Roman" w:cs="Times New Roman" w:eastAsiaTheme="minorEastAsia"/>
              <w:sz w:val="24"/>
              <w:szCs w:val="24"/>
            </w:rPr>
          </w:pPr>
          <w:r>
            <w:rPr>
              <w:rFonts w:hint="default" w:ascii="Times New Roman" w:hAnsi="Times New Roman" w:cs="Times New Roman" w:eastAsiaTheme="minorEastAsia"/>
              <w:sz w:val="24"/>
              <w:szCs w:val="24"/>
            </w:rPr>
            <w:fldChar w:fldCharType="begin"/>
          </w:r>
          <w:r>
            <w:rPr>
              <w:rFonts w:hint="default" w:ascii="Times New Roman" w:hAnsi="Times New Roman" w:cs="Times New Roman" w:eastAsiaTheme="minorEastAsia"/>
              <w:sz w:val="24"/>
              <w:szCs w:val="24"/>
            </w:rPr>
            <w:instrText xml:space="preserve"> HYPERLINK \l _Toc11267_WPSOffice_Level1 </w:instrText>
          </w:r>
          <w:r>
            <w:rPr>
              <w:rFonts w:hint="default" w:ascii="Times New Roman" w:hAnsi="Times New Roman" w:cs="Times New Roman" w:eastAsiaTheme="minorEastAsia"/>
              <w:sz w:val="24"/>
              <w:szCs w:val="24"/>
            </w:rPr>
            <w:fldChar w:fldCharType="separate"/>
          </w:r>
          <w:sdt>
            <w:sdtPr>
              <w:rPr>
                <w:rFonts w:hint="default" w:ascii="Times New Roman" w:hAnsi="Times New Roman" w:cs="Times New Roman" w:eastAsiaTheme="minorEastAsia"/>
                <w:kern w:val="2"/>
                <w:sz w:val="24"/>
                <w:szCs w:val="24"/>
                <w:lang w:val="en-US" w:eastAsia="zh-CN" w:bidi="ar-SA"/>
              </w:rPr>
              <w:id w:val="147481021"/>
              <w:placeholder>
                <w:docPart w:val="{4b0ef011-07a8-4688-9ab6-9c36146c93fe}"/>
              </w:placeholder>
            </w:sdtPr>
            <w:sdtEndPr>
              <w:rPr>
                <w:rFonts w:hint="default" w:ascii="Times New Roman" w:hAnsi="Times New Roman" w:cs="Times New Roman" w:eastAsiaTheme="minorEastAsia"/>
                <w:kern w:val="2"/>
                <w:sz w:val="24"/>
                <w:szCs w:val="24"/>
                <w:lang w:val="en-US" w:eastAsia="zh-CN" w:bidi="ar-SA"/>
              </w:rPr>
            </w:sdtEndPr>
            <w:sdtContent>
              <w:r>
                <w:rPr>
                  <w:rFonts w:hint="eastAsia" w:ascii="Times New Roman" w:hAnsi="Times New Roman" w:cs="Times New Roman" w:eastAsiaTheme="minorEastAsia"/>
                  <w:kern w:val="2"/>
                  <w:sz w:val="24"/>
                  <w:szCs w:val="24"/>
                  <w:lang w:val="en-US" w:eastAsia="zh-CN" w:bidi="ar-SA"/>
                </w:rPr>
                <w:t>附件2：</w:t>
              </w:r>
              <w:r>
                <w:rPr>
                  <w:rFonts w:hint="default" w:ascii="Times New Roman" w:hAnsi="Times New Roman" w:cs="Times New Roman" w:eastAsiaTheme="minorEastAsia"/>
                  <w:sz w:val="24"/>
                  <w:szCs w:val="24"/>
                </w:rPr>
                <w:t>检修安全健康环保考核实施细则</w:t>
              </w:r>
            </w:sdtContent>
          </w:sdt>
          <w:r>
            <w:rPr>
              <w:rFonts w:hint="default" w:ascii="Times New Roman" w:hAnsi="Times New Roman" w:cs="Times New Roman" w:eastAsiaTheme="minorEastAsia"/>
              <w:sz w:val="24"/>
              <w:szCs w:val="24"/>
            </w:rPr>
            <w:tab/>
          </w:r>
          <w:bookmarkStart w:id="11" w:name="_Toc11267_WPSOffice_Level1Page"/>
          <w:r>
            <w:rPr>
              <w:rFonts w:hint="default" w:ascii="Times New Roman" w:hAnsi="Times New Roman" w:cs="Times New Roman" w:eastAsiaTheme="minorEastAsia"/>
              <w:sz w:val="24"/>
              <w:szCs w:val="24"/>
            </w:rPr>
            <w:t>25</w:t>
          </w:r>
          <w:bookmarkEnd w:id="11"/>
          <w:r>
            <w:rPr>
              <w:rFonts w:hint="default" w:ascii="Times New Roman" w:hAnsi="Times New Roman" w:cs="Times New Roman" w:eastAsiaTheme="minorEastAsia"/>
              <w:sz w:val="24"/>
              <w:szCs w:val="24"/>
            </w:rPr>
            <w:fldChar w:fldCharType="end"/>
          </w:r>
          <w:bookmarkEnd w:id="0"/>
        </w:p>
      </w:sdtContent>
    </w:sdt>
    <w:p>
      <w:pPr>
        <w:spacing w:before="156" w:beforeLines="50" w:after="156" w:afterLines="50" w:line="480" w:lineRule="auto"/>
        <w:rPr>
          <w:rFonts w:hint="eastAsia" w:asciiTheme="minorEastAsia" w:hAnsiTheme="minorEastAsia" w:eastAsiaTheme="minorEastAsia" w:cstheme="minorEastAsia"/>
          <w:sz w:val="24"/>
          <w:szCs w:val="24"/>
        </w:rPr>
        <w:sectPr>
          <w:footerReference r:id="rId6" w:type="default"/>
          <w:pgSz w:w="11906" w:h="16838"/>
          <w:pgMar w:top="1440" w:right="1797" w:bottom="1440" w:left="1797" w:header="720" w:footer="720" w:gutter="0"/>
          <w:pgBorders>
            <w:top w:val="none" w:sz="0" w:space="0"/>
            <w:left w:val="none" w:sz="0" w:space="0"/>
            <w:bottom w:val="none" w:sz="0" w:space="0"/>
            <w:right w:val="none" w:sz="0" w:space="0"/>
          </w:pgBorders>
          <w:pgNumType w:fmt="decimal" w:start="1"/>
          <w:cols w:space="720" w:num="1"/>
          <w:docGrid w:type="lines" w:linePitch="312" w:charSpace="0"/>
        </w:sectPr>
      </w:pPr>
    </w:p>
    <w:p>
      <w:pPr>
        <w:keepNext/>
        <w:keepLines w:val="0"/>
        <w:pageBreakBefore w:val="0"/>
        <w:widowControl w:val="0"/>
        <w:numPr>
          <w:ilvl w:val="2"/>
          <w:numId w:val="3"/>
        </w:numPr>
        <w:tabs>
          <w:tab w:val="left" w:pos="420"/>
          <w:tab w:val="clear" w:pos="1021"/>
        </w:tabs>
        <w:kinsoku/>
        <w:wordWrap/>
        <w:overflowPunct/>
        <w:topLinePunct w:val="0"/>
        <w:autoSpaceDE/>
        <w:autoSpaceDN/>
        <w:bidi w:val="0"/>
        <w:adjustRightInd w:val="0"/>
        <w:snapToGrid/>
        <w:spacing w:before="157" w:beforeLines="50" w:after="157" w:afterLines="50" w:line="360" w:lineRule="auto"/>
        <w:ind w:left="0" w:firstLine="0"/>
        <w:jc w:val="left"/>
        <w:textAlignment w:val="baseline"/>
        <w:outlineLvl w:val="2"/>
        <w:rPr>
          <w:rFonts w:hint="default" w:ascii="Times New Roman" w:hAnsi="Times New Roman" w:eastAsia="黑体" w:cs="Times New Roman"/>
          <w:color w:val="000000"/>
          <w:spacing w:val="0"/>
          <w:kern w:val="2"/>
          <w:sz w:val="24"/>
          <w:szCs w:val="24"/>
          <w:lang w:val="en-US" w:eastAsia="zh-CN" w:bidi="ar-SA"/>
        </w:rPr>
      </w:pPr>
      <w:bookmarkStart w:id="12" w:name="_Toc347241972"/>
      <w:bookmarkStart w:id="13" w:name="_Toc24667_WPSOffice_Level1"/>
      <w:r>
        <w:rPr>
          <w:rFonts w:hint="default" w:ascii="Times New Roman" w:hAnsi="Times New Roman" w:eastAsia="黑体" w:cs="Times New Roman"/>
          <w:color w:val="000000"/>
          <w:spacing w:val="0"/>
          <w:kern w:val="2"/>
          <w:sz w:val="24"/>
          <w:szCs w:val="24"/>
          <w:lang w:val="en-US" w:eastAsia="zh-CN" w:bidi="ar-SA"/>
        </w:rPr>
        <w:t>总则</w:t>
      </w:r>
      <w:bookmarkEnd w:id="12"/>
      <w:bookmarkEnd w:id="13"/>
    </w:p>
    <w:p>
      <w:pPr>
        <w:keepNext/>
        <w:widowControl w:val="0"/>
        <w:numPr>
          <w:ilvl w:val="3"/>
          <w:numId w:val="3"/>
        </w:numPr>
        <w:tabs>
          <w:tab w:val="left" w:pos="426"/>
          <w:tab w:val="clear" w:pos="1589"/>
        </w:tabs>
        <w:adjustRightInd w:val="0"/>
        <w:spacing w:line="360" w:lineRule="auto"/>
        <w:ind w:left="0" w:firstLine="0"/>
        <w:jc w:val="left"/>
        <w:textAlignment w:val="baseline"/>
        <w:outlineLvl w:val="3"/>
        <w:rPr>
          <w:rFonts w:hint="default" w:ascii="Times New Roman" w:hAnsi="Times New Roman" w:eastAsia="宋体" w:cs="Times New Roman"/>
          <w:b w:val="0"/>
          <w:color w:val="000000"/>
          <w:spacing w:val="0"/>
          <w:sz w:val="24"/>
          <w:szCs w:val="24"/>
          <w:lang w:val="en-US" w:eastAsia="zh-CN" w:bidi="ar-SA"/>
        </w:rPr>
      </w:pPr>
      <w:r>
        <w:rPr>
          <w:rFonts w:hint="default" w:ascii="Times New Roman" w:hAnsi="Times New Roman" w:eastAsia="宋体" w:cs="Times New Roman"/>
          <w:b w:val="0"/>
          <w:color w:val="000000"/>
          <w:spacing w:val="0"/>
          <w:sz w:val="24"/>
          <w:szCs w:val="24"/>
          <w:lang w:val="en-US" w:eastAsia="zh-CN" w:bidi="ar-SA"/>
        </w:rPr>
        <w:t>本技术规范</w:t>
      </w:r>
      <w:r>
        <w:rPr>
          <w:rFonts w:hint="eastAsia" w:cs="Times New Roman"/>
          <w:b w:val="0"/>
          <w:color w:val="000000"/>
          <w:spacing w:val="0"/>
          <w:sz w:val="24"/>
          <w:szCs w:val="24"/>
          <w:lang w:val="en-US" w:eastAsia="zh-CN" w:bidi="ar-SA"/>
        </w:rPr>
        <w:t>书</w:t>
      </w:r>
      <w:r>
        <w:rPr>
          <w:rFonts w:hint="default" w:ascii="Times New Roman" w:hAnsi="Times New Roman" w:eastAsia="宋体" w:cs="Times New Roman"/>
          <w:b w:val="0"/>
          <w:color w:val="000000"/>
          <w:spacing w:val="0"/>
          <w:sz w:val="24"/>
          <w:szCs w:val="24"/>
          <w:lang w:val="en-US" w:eastAsia="zh-CN" w:bidi="ar-SA"/>
        </w:rPr>
        <w:t>适用于四川泸州川南发电有限责任公司（以下简称“招标方”）脱硫系统</w:t>
      </w:r>
      <w:r>
        <w:rPr>
          <w:rFonts w:hint="eastAsia" w:cs="Times New Roman"/>
          <w:b w:val="0"/>
          <w:color w:val="000000"/>
          <w:spacing w:val="0"/>
          <w:sz w:val="24"/>
          <w:szCs w:val="24"/>
          <w:lang w:val="en-US" w:eastAsia="zh-CN" w:bidi="ar-SA"/>
        </w:rPr>
        <w:t>附属</w:t>
      </w:r>
      <w:r>
        <w:rPr>
          <w:rFonts w:hint="default" w:ascii="Times New Roman" w:hAnsi="Times New Roman" w:eastAsia="宋体" w:cs="Times New Roman"/>
          <w:b w:val="0"/>
          <w:color w:val="000000"/>
          <w:spacing w:val="0"/>
          <w:sz w:val="24"/>
          <w:szCs w:val="24"/>
          <w:lang w:val="en-US" w:eastAsia="zh-CN" w:bidi="ar-SA"/>
        </w:rPr>
        <w:t>设施</w:t>
      </w:r>
      <w:r>
        <w:rPr>
          <w:rFonts w:hint="eastAsia" w:cs="Times New Roman"/>
          <w:b w:val="0"/>
          <w:color w:val="000000"/>
          <w:spacing w:val="0"/>
          <w:sz w:val="24"/>
          <w:szCs w:val="24"/>
          <w:lang w:val="en-US" w:eastAsia="zh-CN" w:bidi="ar-SA"/>
        </w:rPr>
        <w:t>专项</w:t>
      </w:r>
      <w:r>
        <w:rPr>
          <w:rFonts w:hint="default" w:ascii="Times New Roman" w:hAnsi="Times New Roman" w:eastAsia="宋体" w:cs="Times New Roman"/>
          <w:b w:val="0"/>
          <w:color w:val="000000"/>
          <w:spacing w:val="0"/>
          <w:sz w:val="24"/>
          <w:szCs w:val="24"/>
          <w:lang w:val="en-US" w:eastAsia="zh-CN" w:bidi="ar-SA"/>
        </w:rPr>
        <w:t>治理施工项目。脱硫系统</w:t>
      </w:r>
      <w:r>
        <w:rPr>
          <w:rFonts w:hint="eastAsia" w:cs="Times New Roman"/>
          <w:b w:val="0"/>
          <w:color w:val="000000"/>
          <w:spacing w:val="0"/>
          <w:sz w:val="24"/>
          <w:szCs w:val="24"/>
          <w:lang w:val="en-US" w:eastAsia="zh-CN" w:bidi="ar-SA"/>
        </w:rPr>
        <w:t>附属</w:t>
      </w:r>
      <w:r>
        <w:rPr>
          <w:rFonts w:hint="default" w:ascii="Times New Roman" w:hAnsi="Times New Roman" w:eastAsia="宋体" w:cs="Times New Roman"/>
          <w:b w:val="0"/>
          <w:color w:val="000000"/>
          <w:spacing w:val="0"/>
          <w:sz w:val="24"/>
          <w:szCs w:val="24"/>
          <w:lang w:val="en-US" w:eastAsia="zh-CN" w:bidi="ar-SA"/>
        </w:rPr>
        <w:t>设施</w:t>
      </w:r>
      <w:r>
        <w:rPr>
          <w:rFonts w:hint="eastAsia" w:cs="Times New Roman"/>
          <w:b w:val="0"/>
          <w:color w:val="000000"/>
          <w:spacing w:val="0"/>
          <w:sz w:val="24"/>
          <w:szCs w:val="24"/>
          <w:lang w:val="en-US" w:eastAsia="zh-CN" w:bidi="ar-SA"/>
        </w:rPr>
        <w:t>专项</w:t>
      </w:r>
      <w:r>
        <w:rPr>
          <w:rFonts w:hint="default" w:ascii="Times New Roman" w:hAnsi="Times New Roman" w:eastAsia="宋体" w:cs="Times New Roman"/>
          <w:b w:val="0"/>
          <w:color w:val="000000"/>
          <w:spacing w:val="0"/>
          <w:sz w:val="24"/>
          <w:szCs w:val="24"/>
          <w:lang w:val="en-US" w:eastAsia="zh-CN" w:bidi="ar-SA"/>
        </w:rPr>
        <w:t>治理施工包括对</w:t>
      </w:r>
      <w:r>
        <w:rPr>
          <w:rFonts w:hint="eastAsia" w:cs="Times New Roman"/>
          <w:b w:val="0"/>
          <w:color w:val="000000"/>
          <w:spacing w:val="0"/>
          <w:sz w:val="24"/>
          <w:szCs w:val="24"/>
          <w:lang w:val="en-US" w:eastAsia="zh-CN" w:bidi="ar-SA"/>
        </w:rPr>
        <w:t>钢制</w:t>
      </w:r>
      <w:r>
        <w:rPr>
          <w:rFonts w:hint="default" w:ascii="Times New Roman" w:hAnsi="Times New Roman" w:eastAsia="宋体" w:cs="Times New Roman"/>
          <w:b w:val="0"/>
          <w:color w:val="000000"/>
          <w:spacing w:val="0"/>
          <w:sz w:val="24"/>
          <w:szCs w:val="24"/>
          <w:lang w:val="en-US" w:eastAsia="zh-CN" w:bidi="ar-SA"/>
        </w:rPr>
        <w:t>安全防护栏杆</w:t>
      </w:r>
      <w:r>
        <w:rPr>
          <w:rFonts w:hint="eastAsia" w:cs="Times New Roman"/>
          <w:b w:val="0"/>
          <w:color w:val="000000"/>
          <w:spacing w:val="0"/>
          <w:sz w:val="24"/>
          <w:szCs w:val="24"/>
          <w:lang w:val="en-US" w:eastAsia="zh-CN" w:bidi="ar-SA"/>
        </w:rPr>
        <w:t>、</w:t>
      </w:r>
      <w:r>
        <w:rPr>
          <w:rFonts w:hint="default" w:ascii="Times New Roman" w:hAnsi="Times New Roman" w:eastAsia="宋体" w:cs="Times New Roman"/>
          <w:b w:val="0"/>
          <w:color w:val="000000"/>
          <w:spacing w:val="0"/>
          <w:sz w:val="24"/>
          <w:szCs w:val="24"/>
          <w:lang w:val="en-US" w:eastAsia="zh-CN" w:bidi="ar-SA"/>
        </w:rPr>
        <w:t>平台</w:t>
      </w:r>
      <w:r>
        <w:rPr>
          <w:rFonts w:hint="eastAsia" w:cs="Times New Roman"/>
          <w:b w:val="0"/>
          <w:color w:val="000000"/>
          <w:spacing w:val="0"/>
          <w:sz w:val="24"/>
          <w:szCs w:val="24"/>
          <w:lang w:val="en-US" w:eastAsia="zh-CN" w:bidi="ar-SA"/>
        </w:rPr>
        <w:t>及斜梯（直梯）等</w:t>
      </w:r>
      <w:r>
        <w:rPr>
          <w:rFonts w:hint="default" w:ascii="Times New Roman" w:hAnsi="Times New Roman" w:eastAsia="宋体" w:cs="Times New Roman"/>
          <w:b w:val="0"/>
          <w:color w:val="000000"/>
          <w:spacing w:val="0"/>
          <w:sz w:val="24"/>
          <w:szCs w:val="24"/>
          <w:lang w:val="en-US" w:eastAsia="zh-CN" w:bidi="ar-SA"/>
        </w:rPr>
        <w:t>锈蚀严重、强度不足部件的更换、焊接补</w:t>
      </w:r>
      <w:r>
        <w:rPr>
          <w:rFonts w:hint="eastAsia" w:cs="Times New Roman"/>
          <w:b w:val="0"/>
          <w:color w:val="000000"/>
          <w:spacing w:val="0"/>
          <w:sz w:val="24"/>
          <w:szCs w:val="24"/>
          <w:lang w:val="en-US" w:eastAsia="zh-CN" w:bidi="ar-SA"/>
        </w:rPr>
        <w:t>强</w:t>
      </w:r>
      <w:r>
        <w:rPr>
          <w:rFonts w:hint="default" w:ascii="Times New Roman" w:hAnsi="Times New Roman" w:eastAsia="宋体" w:cs="Times New Roman"/>
          <w:b w:val="0"/>
          <w:color w:val="000000"/>
          <w:spacing w:val="0"/>
          <w:sz w:val="24"/>
          <w:szCs w:val="24"/>
          <w:lang w:val="en-US" w:eastAsia="zh-CN" w:bidi="ar-SA"/>
        </w:rPr>
        <w:t>等</w:t>
      </w:r>
      <w:r>
        <w:rPr>
          <w:rFonts w:hint="eastAsia" w:cs="Times New Roman"/>
          <w:b w:val="0"/>
          <w:color w:val="000000"/>
          <w:spacing w:val="0"/>
          <w:sz w:val="24"/>
          <w:szCs w:val="24"/>
          <w:lang w:val="en-US" w:eastAsia="zh-CN" w:bidi="ar-SA"/>
        </w:rPr>
        <w:t>施工</w:t>
      </w:r>
      <w:r>
        <w:rPr>
          <w:rFonts w:hint="default" w:ascii="Times New Roman" w:hAnsi="Times New Roman" w:eastAsia="宋体" w:cs="Times New Roman"/>
          <w:b w:val="0"/>
          <w:color w:val="000000"/>
          <w:spacing w:val="0"/>
          <w:sz w:val="24"/>
          <w:szCs w:val="24"/>
          <w:lang w:val="en-US" w:eastAsia="zh-CN" w:bidi="ar-SA"/>
        </w:rPr>
        <w:t>工作。</w:t>
      </w:r>
    </w:p>
    <w:p>
      <w:pPr>
        <w:keepNext/>
        <w:widowControl w:val="0"/>
        <w:numPr>
          <w:ilvl w:val="3"/>
          <w:numId w:val="3"/>
        </w:numPr>
        <w:tabs>
          <w:tab w:val="left" w:pos="426"/>
          <w:tab w:val="clear" w:pos="1589"/>
        </w:tabs>
        <w:adjustRightInd w:val="0"/>
        <w:spacing w:line="360" w:lineRule="auto"/>
        <w:ind w:left="0" w:firstLine="0"/>
        <w:jc w:val="left"/>
        <w:textAlignment w:val="baseline"/>
        <w:outlineLvl w:val="3"/>
        <w:rPr>
          <w:rFonts w:hint="default" w:ascii="Times New Roman" w:hAnsi="Times New Roman" w:eastAsia="宋体" w:cs="Times New Roman"/>
          <w:b w:val="0"/>
          <w:color w:val="000000"/>
          <w:spacing w:val="0"/>
          <w:sz w:val="24"/>
          <w:szCs w:val="24"/>
          <w:lang w:val="en-US" w:eastAsia="zh-CN" w:bidi="ar-SA"/>
        </w:rPr>
      </w:pPr>
      <w:r>
        <w:rPr>
          <w:rFonts w:hint="default" w:ascii="Times New Roman" w:hAnsi="Times New Roman" w:eastAsia="宋体" w:cs="Times New Roman"/>
          <w:b w:val="0"/>
          <w:color w:val="000000"/>
          <w:spacing w:val="0"/>
          <w:sz w:val="24"/>
          <w:szCs w:val="24"/>
          <w:lang w:val="en-US" w:eastAsia="zh-CN" w:bidi="ar-SA"/>
        </w:rPr>
        <w:t>本技术规范书提出了</w:t>
      </w:r>
      <w:r>
        <w:rPr>
          <w:rFonts w:hint="eastAsia" w:cs="Times New Roman"/>
          <w:b w:val="0"/>
          <w:color w:val="000000"/>
          <w:spacing w:val="0"/>
          <w:sz w:val="24"/>
          <w:szCs w:val="24"/>
          <w:lang w:val="en-US" w:eastAsia="zh-CN" w:bidi="ar-SA"/>
        </w:rPr>
        <w:t>钢制</w:t>
      </w:r>
      <w:r>
        <w:rPr>
          <w:rFonts w:hint="default" w:ascii="Times New Roman" w:hAnsi="Times New Roman" w:eastAsia="宋体" w:cs="Times New Roman"/>
          <w:b w:val="0"/>
          <w:color w:val="000000"/>
          <w:spacing w:val="0"/>
          <w:sz w:val="24"/>
          <w:szCs w:val="24"/>
          <w:lang w:val="en-US" w:eastAsia="zh-CN" w:bidi="ar-SA"/>
        </w:rPr>
        <w:t>安全防护栏杆</w:t>
      </w:r>
      <w:r>
        <w:rPr>
          <w:rFonts w:hint="eastAsia" w:cs="Times New Roman"/>
          <w:b w:val="0"/>
          <w:color w:val="000000"/>
          <w:spacing w:val="0"/>
          <w:sz w:val="24"/>
          <w:szCs w:val="24"/>
          <w:lang w:val="en-US" w:eastAsia="zh-CN" w:bidi="ar-SA"/>
        </w:rPr>
        <w:t>、</w:t>
      </w:r>
      <w:r>
        <w:rPr>
          <w:rFonts w:hint="default" w:ascii="Times New Roman" w:hAnsi="Times New Roman" w:eastAsia="宋体" w:cs="Times New Roman"/>
          <w:b w:val="0"/>
          <w:color w:val="000000"/>
          <w:spacing w:val="0"/>
          <w:sz w:val="24"/>
          <w:szCs w:val="24"/>
          <w:lang w:val="en-US" w:eastAsia="zh-CN" w:bidi="ar-SA"/>
        </w:rPr>
        <w:t>平台</w:t>
      </w:r>
      <w:r>
        <w:rPr>
          <w:rFonts w:hint="eastAsia" w:cs="Times New Roman"/>
          <w:b w:val="0"/>
          <w:color w:val="000000"/>
          <w:spacing w:val="0"/>
          <w:sz w:val="24"/>
          <w:szCs w:val="24"/>
          <w:lang w:val="en-US" w:eastAsia="zh-CN" w:bidi="ar-SA"/>
        </w:rPr>
        <w:t>及斜梯（直梯）</w:t>
      </w:r>
      <w:r>
        <w:rPr>
          <w:rFonts w:hint="default" w:ascii="Times New Roman" w:hAnsi="Times New Roman" w:eastAsia="宋体" w:cs="Times New Roman"/>
          <w:b w:val="0"/>
          <w:color w:val="000000"/>
          <w:spacing w:val="0"/>
          <w:sz w:val="24"/>
          <w:szCs w:val="24"/>
          <w:lang w:val="en-US" w:eastAsia="zh-CN" w:bidi="ar-SA"/>
        </w:rPr>
        <w:t>等设施治理施工有关技术、安全、环保、质量要求，投标方应满足招标方的要求，并保证被治理的设施安全可靠。</w:t>
      </w:r>
    </w:p>
    <w:p>
      <w:pPr>
        <w:keepNext/>
        <w:widowControl w:val="0"/>
        <w:numPr>
          <w:ilvl w:val="3"/>
          <w:numId w:val="3"/>
        </w:numPr>
        <w:tabs>
          <w:tab w:val="left" w:pos="426"/>
          <w:tab w:val="clear" w:pos="1589"/>
        </w:tabs>
        <w:adjustRightInd w:val="0"/>
        <w:spacing w:line="360" w:lineRule="auto"/>
        <w:ind w:left="0" w:firstLine="0"/>
        <w:jc w:val="left"/>
        <w:textAlignment w:val="baseline"/>
        <w:outlineLvl w:val="3"/>
        <w:rPr>
          <w:rFonts w:hint="default" w:ascii="Times New Roman" w:hAnsi="Times New Roman" w:eastAsia="宋体" w:cs="Times New Roman"/>
          <w:b w:val="0"/>
          <w:color w:val="000000"/>
          <w:spacing w:val="0"/>
          <w:sz w:val="24"/>
          <w:szCs w:val="24"/>
          <w:lang w:val="en-US" w:eastAsia="zh-CN" w:bidi="ar-SA"/>
        </w:rPr>
      </w:pPr>
      <w:r>
        <w:rPr>
          <w:rFonts w:hint="default" w:ascii="Times New Roman" w:hAnsi="Times New Roman" w:eastAsia="宋体" w:cs="Times New Roman"/>
          <w:b w:val="0"/>
          <w:color w:val="000000"/>
          <w:spacing w:val="0"/>
          <w:sz w:val="24"/>
          <w:szCs w:val="24"/>
          <w:lang w:val="en-US" w:eastAsia="zh-CN" w:bidi="ar-SA"/>
        </w:rPr>
        <w:t>本技术规范</w:t>
      </w:r>
      <w:r>
        <w:rPr>
          <w:rFonts w:hint="eastAsia" w:cs="Times New Roman"/>
          <w:b w:val="0"/>
          <w:color w:val="000000"/>
          <w:spacing w:val="0"/>
          <w:sz w:val="24"/>
          <w:szCs w:val="24"/>
          <w:lang w:val="en-US" w:eastAsia="zh-CN" w:bidi="ar-SA"/>
        </w:rPr>
        <w:t>书</w:t>
      </w:r>
      <w:r>
        <w:rPr>
          <w:rFonts w:hint="default" w:ascii="Times New Roman" w:hAnsi="Times New Roman" w:eastAsia="宋体" w:cs="Times New Roman"/>
          <w:b w:val="0"/>
          <w:color w:val="000000"/>
          <w:spacing w:val="0"/>
          <w:sz w:val="24"/>
          <w:szCs w:val="24"/>
          <w:lang w:val="en-US" w:eastAsia="zh-CN" w:bidi="ar-SA"/>
        </w:rPr>
        <w:t>提出了最低限度的技术要求，并未对一切技术细节作出规定，也未充分地详述有关标准和规范的条文，但投标方应保证提供符合本招标文件和相关的</w:t>
      </w:r>
      <w:r>
        <w:rPr>
          <w:rFonts w:hint="default" w:ascii="Times New Roman" w:hAnsi="Times New Roman" w:cs="Times New Roman"/>
          <w:b w:val="0"/>
          <w:color w:val="000000"/>
          <w:spacing w:val="0"/>
          <w:sz w:val="24"/>
          <w:szCs w:val="24"/>
          <w:lang w:val="en-US" w:eastAsia="zh-CN" w:bidi="ar-SA"/>
        </w:rPr>
        <w:t>行业标准、国家</w:t>
      </w:r>
      <w:r>
        <w:rPr>
          <w:rFonts w:hint="default" w:ascii="Times New Roman" w:hAnsi="Times New Roman" w:eastAsia="宋体" w:cs="Times New Roman"/>
          <w:b w:val="0"/>
          <w:color w:val="000000"/>
          <w:spacing w:val="0"/>
          <w:sz w:val="24"/>
          <w:szCs w:val="24"/>
          <w:lang w:val="en-US" w:eastAsia="zh-CN" w:bidi="ar-SA"/>
        </w:rPr>
        <w:t>标准的优质服务。本技术规范中所使用的标准如遇与投标方所执行的标准不一致时，应按较高标准执行。</w:t>
      </w:r>
    </w:p>
    <w:p>
      <w:pPr>
        <w:keepNext/>
        <w:widowControl w:val="0"/>
        <w:numPr>
          <w:ilvl w:val="3"/>
          <w:numId w:val="3"/>
        </w:numPr>
        <w:tabs>
          <w:tab w:val="left" w:pos="426"/>
          <w:tab w:val="clear" w:pos="1589"/>
        </w:tabs>
        <w:adjustRightInd w:val="0"/>
        <w:spacing w:line="360" w:lineRule="auto"/>
        <w:ind w:left="0" w:firstLine="0"/>
        <w:jc w:val="left"/>
        <w:textAlignment w:val="baseline"/>
        <w:outlineLvl w:val="3"/>
        <w:rPr>
          <w:rFonts w:hint="default" w:ascii="Times New Roman" w:hAnsi="Times New Roman" w:eastAsia="宋体" w:cs="Times New Roman"/>
          <w:b w:val="0"/>
          <w:color w:val="000000"/>
          <w:spacing w:val="0"/>
          <w:sz w:val="24"/>
          <w:szCs w:val="24"/>
          <w:lang w:val="en-US" w:eastAsia="zh-CN" w:bidi="ar-SA"/>
        </w:rPr>
      </w:pPr>
      <w:r>
        <w:rPr>
          <w:rFonts w:hint="default" w:ascii="Times New Roman" w:hAnsi="Times New Roman" w:eastAsia="宋体" w:cs="Times New Roman"/>
          <w:b w:val="0"/>
          <w:color w:val="000000"/>
          <w:spacing w:val="0"/>
          <w:sz w:val="24"/>
          <w:szCs w:val="24"/>
          <w:lang w:val="en-US" w:eastAsia="zh-CN" w:bidi="ar-SA"/>
        </w:rPr>
        <w:t>投标方应在投标文件中，对于招标文件进行逐段应答，表明是否接受和同意招标文件的要求，如有差异（无论多少），都应在投标书中以“对技术规范书的意见和同技术规范书的差异”为标题的专门章节中列“差异表”加以详细说明。如投标方没有对本招标文件的要求提出书面异议（或差异），招标方则可认为投标方完全接受和同意本招标文件的要求。</w:t>
      </w:r>
    </w:p>
    <w:p>
      <w:pPr>
        <w:keepNext/>
        <w:widowControl w:val="0"/>
        <w:numPr>
          <w:ilvl w:val="3"/>
          <w:numId w:val="3"/>
        </w:numPr>
        <w:tabs>
          <w:tab w:val="left" w:pos="426"/>
          <w:tab w:val="clear" w:pos="1589"/>
        </w:tabs>
        <w:adjustRightInd w:val="0"/>
        <w:spacing w:line="360" w:lineRule="auto"/>
        <w:ind w:left="0" w:firstLine="0"/>
        <w:jc w:val="left"/>
        <w:textAlignment w:val="baseline"/>
        <w:outlineLvl w:val="3"/>
        <w:rPr>
          <w:rFonts w:hint="default" w:ascii="Times New Roman" w:hAnsi="Times New Roman" w:eastAsia="宋体" w:cs="Times New Roman"/>
          <w:b w:val="0"/>
          <w:color w:val="000000"/>
          <w:spacing w:val="0"/>
          <w:sz w:val="24"/>
          <w:szCs w:val="24"/>
          <w:lang w:val="en-US" w:eastAsia="zh-CN" w:bidi="ar-SA"/>
        </w:rPr>
      </w:pPr>
      <w:r>
        <w:rPr>
          <w:rFonts w:hint="default" w:ascii="Times New Roman" w:hAnsi="Times New Roman" w:eastAsia="宋体" w:cs="Times New Roman"/>
          <w:b w:val="0"/>
          <w:color w:val="000000"/>
          <w:spacing w:val="0"/>
          <w:sz w:val="24"/>
          <w:szCs w:val="24"/>
          <w:lang w:val="en-US" w:eastAsia="zh-CN" w:bidi="ar-SA"/>
        </w:rPr>
        <w:t>投标方应具有电力工程施工总承包三级及以上资质，</w:t>
      </w:r>
      <w:r>
        <w:rPr>
          <w:rFonts w:hint="eastAsia" w:cs="Times New Roman"/>
          <w:b w:val="0"/>
          <w:color w:val="000000"/>
          <w:spacing w:val="0"/>
          <w:sz w:val="24"/>
          <w:szCs w:val="24"/>
          <w:lang w:val="en-US" w:eastAsia="zh-CN" w:bidi="ar-SA"/>
        </w:rPr>
        <w:t>近5年内（2018年1月至今）</w:t>
      </w:r>
      <w:r>
        <w:rPr>
          <w:rFonts w:hint="default" w:ascii="Times New Roman" w:hAnsi="Times New Roman" w:eastAsia="宋体" w:cs="Times New Roman"/>
          <w:b w:val="0"/>
          <w:color w:val="000000"/>
          <w:spacing w:val="0"/>
          <w:sz w:val="24"/>
          <w:szCs w:val="24"/>
          <w:highlight w:val="none"/>
          <w:lang w:val="en-US" w:eastAsia="zh-CN" w:bidi="ar-SA"/>
        </w:rPr>
        <w:t>具有1台600MW及以上容量机组检修（包含锅炉及其辅机检修）业绩</w:t>
      </w:r>
      <w:r>
        <w:rPr>
          <w:rFonts w:hint="default" w:ascii="Times New Roman" w:hAnsi="Times New Roman" w:eastAsia="宋体" w:cs="Times New Roman"/>
          <w:b w:val="0"/>
          <w:color w:val="000000"/>
          <w:spacing w:val="0"/>
          <w:sz w:val="24"/>
          <w:szCs w:val="24"/>
          <w:lang w:val="en-US" w:eastAsia="zh-CN" w:bidi="ar-SA"/>
        </w:rPr>
        <w:t>。投标时提供营业执照、安全生产许可证、职业健康安全管理体系认证证书、质量管理体系认证证书、组织措施、技术措施、安全措施、应急预案、业绩证明（必须提供合同封面、签字页及具体检修内容等相关证明文件）。</w:t>
      </w:r>
    </w:p>
    <w:p>
      <w:pPr>
        <w:keepNext/>
        <w:widowControl w:val="0"/>
        <w:numPr>
          <w:ilvl w:val="3"/>
          <w:numId w:val="3"/>
        </w:numPr>
        <w:tabs>
          <w:tab w:val="left" w:pos="426"/>
          <w:tab w:val="clear" w:pos="1589"/>
        </w:tabs>
        <w:adjustRightInd w:val="0"/>
        <w:spacing w:line="360" w:lineRule="auto"/>
        <w:ind w:left="0" w:firstLine="0"/>
        <w:jc w:val="left"/>
        <w:textAlignment w:val="baseline"/>
        <w:outlineLvl w:val="3"/>
        <w:rPr>
          <w:rFonts w:hint="default" w:ascii="Times New Roman" w:hAnsi="Times New Roman" w:eastAsia="宋体" w:cs="Times New Roman"/>
          <w:b w:val="0"/>
          <w:color w:val="000000"/>
          <w:spacing w:val="0"/>
          <w:sz w:val="24"/>
          <w:szCs w:val="24"/>
          <w:lang w:val="en-US" w:eastAsia="zh-CN" w:bidi="ar-SA"/>
        </w:rPr>
      </w:pPr>
      <w:r>
        <w:rPr>
          <w:rFonts w:hint="default" w:ascii="Times New Roman" w:hAnsi="Times New Roman" w:cs="Times New Roman"/>
          <w:b w:val="0"/>
          <w:color w:val="000000"/>
          <w:spacing w:val="0"/>
          <w:sz w:val="24"/>
          <w:szCs w:val="24"/>
          <w:lang w:val="en-US" w:eastAsia="zh-CN" w:bidi="ar-SA"/>
        </w:rPr>
        <w:t>投标</w:t>
      </w:r>
      <w:r>
        <w:rPr>
          <w:rFonts w:hint="default" w:ascii="Times New Roman" w:hAnsi="Times New Roman" w:eastAsia="宋体" w:cs="Times New Roman"/>
          <w:b w:val="0"/>
          <w:color w:val="000000"/>
          <w:spacing w:val="0"/>
          <w:sz w:val="24"/>
          <w:szCs w:val="24"/>
          <w:lang w:val="en-US" w:eastAsia="zh-CN" w:bidi="ar-SA"/>
        </w:rPr>
        <w:t>方在</w:t>
      </w:r>
      <w:r>
        <w:rPr>
          <w:rFonts w:hint="default" w:ascii="Times New Roman" w:hAnsi="Times New Roman" w:cs="Times New Roman"/>
          <w:b w:val="0"/>
          <w:color w:val="000000"/>
          <w:spacing w:val="0"/>
          <w:sz w:val="24"/>
          <w:szCs w:val="24"/>
          <w:lang w:val="en-US" w:eastAsia="zh-CN" w:bidi="ar-SA"/>
        </w:rPr>
        <w:t>施工</w:t>
      </w:r>
      <w:r>
        <w:rPr>
          <w:rFonts w:hint="default" w:ascii="Times New Roman" w:hAnsi="Times New Roman" w:eastAsia="宋体" w:cs="Times New Roman"/>
          <w:b w:val="0"/>
          <w:color w:val="000000"/>
          <w:spacing w:val="0"/>
          <w:sz w:val="24"/>
          <w:szCs w:val="24"/>
          <w:lang w:val="en-US" w:eastAsia="zh-CN" w:bidi="ar-SA"/>
        </w:rPr>
        <w:t>中应尽量采用先进工艺和新技术、新方法，积极选用新材料、新工具，提高工作效率。</w:t>
      </w:r>
    </w:p>
    <w:p>
      <w:pPr>
        <w:keepNext/>
        <w:widowControl w:val="0"/>
        <w:numPr>
          <w:ilvl w:val="3"/>
          <w:numId w:val="3"/>
        </w:numPr>
        <w:tabs>
          <w:tab w:val="left" w:pos="426"/>
          <w:tab w:val="clear" w:pos="1589"/>
        </w:tabs>
        <w:adjustRightInd w:val="0"/>
        <w:spacing w:line="360" w:lineRule="auto"/>
        <w:ind w:left="0" w:firstLine="0"/>
        <w:jc w:val="left"/>
        <w:textAlignment w:val="baseline"/>
        <w:outlineLvl w:val="3"/>
        <w:rPr>
          <w:rFonts w:hint="default" w:ascii="Times New Roman" w:hAnsi="Times New Roman" w:eastAsia="宋体" w:cs="Times New Roman"/>
          <w:b w:val="0"/>
          <w:color w:val="000000"/>
          <w:spacing w:val="0"/>
          <w:sz w:val="24"/>
          <w:szCs w:val="24"/>
          <w:lang w:val="en-US" w:eastAsia="zh-CN" w:bidi="ar-SA"/>
        </w:rPr>
      </w:pPr>
      <w:r>
        <w:rPr>
          <w:rFonts w:hint="default" w:ascii="Times New Roman" w:hAnsi="Times New Roman" w:eastAsia="宋体" w:cs="Times New Roman"/>
          <w:b w:val="0"/>
          <w:color w:val="000000"/>
          <w:spacing w:val="0"/>
          <w:sz w:val="24"/>
          <w:szCs w:val="24"/>
          <w:lang w:val="en-US" w:eastAsia="zh-CN" w:bidi="ar-SA"/>
        </w:rPr>
        <w:t>合同签订后，投标方应按照招标方</w:t>
      </w:r>
      <w:r>
        <w:rPr>
          <w:rFonts w:hint="eastAsia" w:cs="Times New Roman"/>
          <w:b w:val="0"/>
          <w:color w:val="000000"/>
          <w:spacing w:val="0"/>
          <w:sz w:val="24"/>
          <w:szCs w:val="24"/>
          <w:lang w:val="en-US" w:eastAsia="zh-CN" w:bidi="ar-SA"/>
        </w:rPr>
        <w:t>通知</w:t>
      </w:r>
      <w:r>
        <w:rPr>
          <w:rFonts w:hint="default" w:ascii="Times New Roman" w:hAnsi="Times New Roman" w:eastAsia="宋体" w:cs="Times New Roman"/>
          <w:b w:val="0"/>
          <w:color w:val="000000"/>
          <w:spacing w:val="0"/>
          <w:sz w:val="24"/>
          <w:szCs w:val="24"/>
          <w:lang w:val="en-US" w:eastAsia="zh-CN" w:bidi="ar-SA"/>
        </w:rPr>
        <w:t>的时间、治理施工范围要求提供所需要的</w:t>
      </w:r>
      <w:r>
        <w:rPr>
          <w:rFonts w:hint="default" w:ascii="Times New Roman" w:hAnsi="Times New Roman" w:cs="Times New Roman"/>
          <w:b w:val="0"/>
          <w:color w:val="000000"/>
          <w:spacing w:val="0"/>
          <w:sz w:val="24"/>
          <w:szCs w:val="24"/>
          <w:lang w:val="en-US" w:eastAsia="zh-CN" w:bidi="ar-SA"/>
        </w:rPr>
        <w:t>施工</w:t>
      </w:r>
      <w:r>
        <w:rPr>
          <w:rFonts w:hint="default" w:ascii="Times New Roman" w:hAnsi="Times New Roman" w:eastAsia="宋体" w:cs="Times New Roman"/>
          <w:b w:val="0"/>
          <w:color w:val="000000"/>
          <w:spacing w:val="0"/>
          <w:sz w:val="24"/>
          <w:szCs w:val="24"/>
          <w:lang w:val="en-US" w:eastAsia="zh-CN" w:bidi="ar-SA"/>
        </w:rPr>
        <w:t>方案、</w:t>
      </w:r>
      <w:r>
        <w:rPr>
          <w:rFonts w:hint="default" w:ascii="Times New Roman" w:hAnsi="Times New Roman" w:cs="Times New Roman"/>
          <w:b w:val="0"/>
          <w:color w:val="000000"/>
          <w:spacing w:val="0"/>
          <w:sz w:val="24"/>
          <w:szCs w:val="24"/>
          <w:lang w:val="en-US" w:eastAsia="zh-CN" w:bidi="ar-SA"/>
        </w:rPr>
        <w:t>施工</w:t>
      </w:r>
      <w:r>
        <w:rPr>
          <w:rFonts w:hint="default" w:ascii="Times New Roman" w:hAnsi="Times New Roman" w:eastAsia="宋体" w:cs="Times New Roman"/>
          <w:b w:val="0"/>
          <w:color w:val="000000"/>
          <w:spacing w:val="0"/>
          <w:sz w:val="24"/>
          <w:szCs w:val="24"/>
          <w:lang w:val="en-US" w:eastAsia="zh-CN" w:bidi="ar-SA"/>
        </w:rPr>
        <w:t>工器具</w:t>
      </w:r>
      <w:r>
        <w:rPr>
          <w:rFonts w:hint="eastAsia" w:cs="Times New Roman"/>
          <w:b w:val="0"/>
          <w:color w:val="000000"/>
          <w:spacing w:val="0"/>
          <w:sz w:val="24"/>
          <w:szCs w:val="24"/>
          <w:lang w:val="en-US" w:eastAsia="zh-CN" w:bidi="ar-SA"/>
        </w:rPr>
        <w:t>与材料</w:t>
      </w:r>
      <w:r>
        <w:rPr>
          <w:rFonts w:hint="default" w:ascii="Times New Roman" w:hAnsi="Times New Roman" w:eastAsia="宋体" w:cs="Times New Roman"/>
          <w:b w:val="0"/>
          <w:color w:val="000000"/>
          <w:spacing w:val="0"/>
          <w:sz w:val="24"/>
          <w:szCs w:val="24"/>
          <w:lang w:val="en-US" w:eastAsia="zh-CN" w:bidi="ar-SA"/>
        </w:rPr>
        <w:t>清单以及</w:t>
      </w:r>
      <w:r>
        <w:rPr>
          <w:rFonts w:hint="default" w:ascii="Times New Roman" w:hAnsi="Times New Roman" w:cs="Times New Roman"/>
          <w:b w:val="0"/>
          <w:color w:val="000000"/>
          <w:spacing w:val="0"/>
          <w:sz w:val="24"/>
          <w:szCs w:val="24"/>
          <w:lang w:val="en-US" w:eastAsia="zh-CN" w:bidi="ar-SA"/>
        </w:rPr>
        <w:t>施工</w:t>
      </w:r>
      <w:r>
        <w:rPr>
          <w:rFonts w:hint="default" w:ascii="Times New Roman" w:hAnsi="Times New Roman" w:eastAsia="宋体" w:cs="Times New Roman"/>
          <w:b w:val="0"/>
          <w:color w:val="000000"/>
          <w:spacing w:val="0"/>
          <w:sz w:val="24"/>
          <w:szCs w:val="24"/>
          <w:lang w:val="en-US" w:eastAsia="zh-CN" w:bidi="ar-SA"/>
        </w:rPr>
        <w:t>人员资料等。</w:t>
      </w:r>
    </w:p>
    <w:p>
      <w:pPr>
        <w:keepNext/>
        <w:widowControl w:val="0"/>
        <w:numPr>
          <w:ilvl w:val="3"/>
          <w:numId w:val="3"/>
        </w:numPr>
        <w:tabs>
          <w:tab w:val="left" w:pos="426"/>
          <w:tab w:val="clear" w:pos="1589"/>
        </w:tabs>
        <w:adjustRightInd w:val="0"/>
        <w:spacing w:line="360" w:lineRule="auto"/>
        <w:ind w:left="0" w:firstLine="0"/>
        <w:jc w:val="left"/>
        <w:textAlignment w:val="baseline"/>
        <w:outlineLvl w:val="3"/>
        <w:rPr>
          <w:rFonts w:hint="default" w:ascii="Times New Roman" w:hAnsi="Times New Roman" w:eastAsia="宋体" w:cs="Times New Roman"/>
          <w:b w:val="0"/>
          <w:color w:val="000000"/>
          <w:spacing w:val="0"/>
          <w:sz w:val="24"/>
          <w:szCs w:val="24"/>
          <w:lang w:val="en-US" w:eastAsia="zh-CN" w:bidi="ar-SA"/>
        </w:rPr>
      </w:pPr>
      <w:r>
        <w:rPr>
          <w:rFonts w:hint="default" w:ascii="Times New Roman" w:hAnsi="Times New Roman" w:cs="Times New Roman"/>
          <w:b w:val="0"/>
          <w:color w:val="000000"/>
          <w:spacing w:val="0"/>
          <w:sz w:val="24"/>
          <w:szCs w:val="24"/>
          <w:lang w:val="en-US" w:eastAsia="zh-CN" w:bidi="ar-SA"/>
        </w:rPr>
        <w:t>投标方必须遵守招标方安全生产工作相关制度。对违反规定的，招标方将按</w:t>
      </w:r>
      <w:r>
        <w:rPr>
          <w:rFonts w:hint="eastAsia" w:cs="Times New Roman"/>
          <w:b w:val="0"/>
          <w:color w:val="000000"/>
          <w:spacing w:val="0"/>
          <w:sz w:val="24"/>
          <w:szCs w:val="24"/>
          <w:lang w:val="en-US" w:eastAsia="zh-CN" w:bidi="ar-SA"/>
        </w:rPr>
        <w:t>《安全环保管理奖惩办法》</w:t>
      </w:r>
      <w:r>
        <w:rPr>
          <w:rFonts w:hint="default" w:ascii="Times New Roman" w:hAnsi="Times New Roman" w:cs="Times New Roman"/>
          <w:b w:val="0"/>
          <w:color w:val="000000"/>
          <w:spacing w:val="0"/>
          <w:sz w:val="24"/>
          <w:szCs w:val="24"/>
          <w:lang w:val="en-US" w:eastAsia="zh-CN" w:bidi="ar-SA"/>
        </w:rPr>
        <w:t>《检修质量、进度考核实施细则》《检修安全文明施工、事故、环保考核实施细则》等招标方有关规定严格考核。考核不代替合同中进度、质量、安全、环保相关条款，不免除投标方的责任，如与合同抵触，以合同为准。</w:t>
      </w:r>
    </w:p>
    <w:p>
      <w:pPr>
        <w:keepNext/>
        <w:widowControl w:val="0"/>
        <w:numPr>
          <w:ilvl w:val="3"/>
          <w:numId w:val="3"/>
        </w:numPr>
        <w:tabs>
          <w:tab w:val="left" w:pos="426"/>
          <w:tab w:val="clear" w:pos="1589"/>
        </w:tabs>
        <w:adjustRightInd w:val="0"/>
        <w:spacing w:line="360" w:lineRule="auto"/>
        <w:ind w:left="0" w:firstLine="0"/>
        <w:jc w:val="left"/>
        <w:textAlignment w:val="baseline"/>
        <w:outlineLvl w:val="3"/>
        <w:rPr>
          <w:rFonts w:hint="default" w:ascii="Times New Roman" w:hAnsi="Times New Roman" w:eastAsia="宋体" w:cs="Times New Roman"/>
          <w:b w:val="0"/>
          <w:color w:val="000000"/>
          <w:spacing w:val="0"/>
          <w:sz w:val="24"/>
          <w:szCs w:val="24"/>
          <w:lang w:val="en-US" w:eastAsia="zh-CN" w:bidi="ar-SA"/>
        </w:rPr>
      </w:pPr>
      <w:r>
        <w:rPr>
          <w:rFonts w:hint="default" w:ascii="Times New Roman" w:hAnsi="Times New Roman" w:cs="Times New Roman"/>
          <w:b w:val="0"/>
          <w:color w:val="000000"/>
          <w:spacing w:val="0"/>
          <w:sz w:val="24"/>
          <w:szCs w:val="24"/>
          <w:lang w:val="en-US" w:eastAsia="zh-CN" w:bidi="ar-SA"/>
        </w:rPr>
        <w:t>在签订合同之后，到投标方开始施工之日前的这段时间内，招标方有权提出因规范、标准和规程发生变化而产生的一些补充修改要求，投标方应遵守这个要求，具体款项内容由招、投标方商定。</w:t>
      </w:r>
    </w:p>
    <w:p>
      <w:pPr>
        <w:keepNext/>
        <w:widowControl w:val="0"/>
        <w:numPr>
          <w:ilvl w:val="3"/>
          <w:numId w:val="3"/>
        </w:numPr>
        <w:tabs>
          <w:tab w:val="left" w:pos="426"/>
          <w:tab w:val="left" w:pos="640"/>
          <w:tab w:val="clear" w:pos="1589"/>
        </w:tabs>
        <w:adjustRightInd w:val="0"/>
        <w:spacing w:line="360" w:lineRule="auto"/>
        <w:ind w:left="0" w:firstLine="0"/>
        <w:jc w:val="left"/>
        <w:textAlignment w:val="baseline"/>
        <w:outlineLvl w:val="3"/>
        <w:rPr>
          <w:rFonts w:hint="default" w:ascii="Times New Roman" w:hAnsi="Times New Roman" w:eastAsia="宋体" w:cs="Times New Roman"/>
          <w:b w:val="0"/>
          <w:color w:val="000000"/>
          <w:spacing w:val="0"/>
          <w:sz w:val="24"/>
          <w:szCs w:val="24"/>
          <w:lang w:val="en-US" w:eastAsia="zh-CN" w:bidi="ar-SA"/>
        </w:rPr>
      </w:pPr>
      <w:r>
        <w:rPr>
          <w:rFonts w:hint="default" w:ascii="Times New Roman" w:hAnsi="Times New Roman" w:cs="Times New Roman"/>
          <w:b w:val="0"/>
          <w:color w:val="000000"/>
          <w:spacing w:val="0"/>
          <w:sz w:val="24"/>
          <w:szCs w:val="24"/>
          <w:lang w:val="en-US" w:eastAsia="zh-CN" w:bidi="ar-SA"/>
        </w:rPr>
        <w:t>投标方提供的文件，包括图纸、计算、说明、使用手册等，均应使用国际单位制（SI）。所有文件、工程图纸及相互通讯，均须使用简体中文。</w:t>
      </w:r>
    </w:p>
    <w:p>
      <w:pPr>
        <w:keepNext/>
        <w:widowControl w:val="0"/>
        <w:numPr>
          <w:ilvl w:val="3"/>
          <w:numId w:val="3"/>
        </w:numPr>
        <w:tabs>
          <w:tab w:val="left" w:pos="426"/>
          <w:tab w:val="left" w:pos="640"/>
          <w:tab w:val="clear" w:pos="1589"/>
        </w:tabs>
        <w:adjustRightInd w:val="0"/>
        <w:spacing w:line="360" w:lineRule="auto"/>
        <w:ind w:left="0" w:firstLine="0"/>
        <w:jc w:val="left"/>
        <w:textAlignment w:val="baseline"/>
        <w:outlineLvl w:val="3"/>
        <w:rPr>
          <w:rFonts w:hint="default" w:ascii="Times New Roman" w:hAnsi="Times New Roman" w:eastAsia="宋体" w:cs="Times New Roman"/>
          <w:b w:val="0"/>
          <w:color w:val="000000"/>
          <w:spacing w:val="0"/>
          <w:sz w:val="24"/>
          <w:szCs w:val="24"/>
          <w:lang w:val="en-US" w:eastAsia="zh-CN" w:bidi="ar-SA"/>
        </w:rPr>
      </w:pPr>
      <w:r>
        <w:rPr>
          <w:rFonts w:hint="default" w:ascii="Times New Roman" w:hAnsi="Times New Roman" w:cs="Times New Roman"/>
          <w:b w:val="0"/>
          <w:color w:val="000000"/>
          <w:spacing w:val="0"/>
          <w:sz w:val="24"/>
          <w:szCs w:val="24"/>
          <w:lang w:val="en-US" w:eastAsia="zh-CN" w:bidi="ar-SA"/>
        </w:rPr>
        <w:t>双方共同签署的会议纪要、补充文件将作为合同的有效附件，具有相同的法律效力。</w:t>
      </w:r>
    </w:p>
    <w:p>
      <w:pPr>
        <w:keepNext/>
        <w:widowControl w:val="0"/>
        <w:numPr>
          <w:ilvl w:val="3"/>
          <w:numId w:val="3"/>
        </w:numPr>
        <w:tabs>
          <w:tab w:val="left" w:pos="426"/>
          <w:tab w:val="left" w:pos="640"/>
          <w:tab w:val="clear" w:pos="1589"/>
        </w:tabs>
        <w:adjustRightInd w:val="0"/>
        <w:spacing w:line="360" w:lineRule="auto"/>
        <w:ind w:left="0" w:firstLine="0"/>
        <w:jc w:val="left"/>
        <w:textAlignment w:val="baseline"/>
        <w:outlineLvl w:val="3"/>
        <w:rPr>
          <w:rFonts w:hint="default" w:ascii="Times New Roman" w:hAnsi="Times New Roman" w:eastAsia="宋体" w:cs="Times New Roman"/>
          <w:b w:val="0"/>
          <w:color w:val="000000"/>
          <w:spacing w:val="0"/>
          <w:sz w:val="24"/>
          <w:szCs w:val="24"/>
          <w:lang w:val="en-US" w:eastAsia="zh-CN" w:bidi="ar-SA"/>
        </w:rPr>
      </w:pPr>
      <w:r>
        <w:rPr>
          <w:rFonts w:hint="default" w:ascii="Times New Roman" w:hAnsi="Times New Roman" w:cs="Times New Roman"/>
          <w:b w:val="0"/>
          <w:color w:val="000000"/>
          <w:spacing w:val="0"/>
          <w:sz w:val="24"/>
          <w:szCs w:val="24"/>
          <w:lang w:val="en-US" w:eastAsia="zh-CN" w:bidi="ar-SA"/>
        </w:rPr>
        <w:t>投标方在施工期间不得以任何理由损坏、损伤招标方设备或误碰招标方运行设备，否则一切损失由投标方负责赔偿。</w:t>
      </w:r>
    </w:p>
    <w:p>
      <w:pPr>
        <w:keepNext/>
        <w:keepLines w:val="0"/>
        <w:pageBreakBefore w:val="0"/>
        <w:widowControl w:val="0"/>
        <w:numPr>
          <w:ilvl w:val="2"/>
          <w:numId w:val="3"/>
        </w:numPr>
        <w:tabs>
          <w:tab w:val="left" w:pos="420"/>
          <w:tab w:val="clear" w:pos="1021"/>
        </w:tabs>
        <w:kinsoku/>
        <w:wordWrap/>
        <w:overflowPunct/>
        <w:topLinePunct w:val="0"/>
        <w:autoSpaceDE/>
        <w:autoSpaceDN/>
        <w:bidi w:val="0"/>
        <w:adjustRightInd w:val="0"/>
        <w:snapToGrid/>
        <w:spacing w:before="157" w:beforeLines="50" w:after="157" w:afterLines="50" w:line="360" w:lineRule="auto"/>
        <w:ind w:left="0" w:firstLine="0"/>
        <w:jc w:val="left"/>
        <w:textAlignment w:val="baseline"/>
        <w:outlineLvl w:val="2"/>
        <w:rPr>
          <w:rFonts w:hint="default" w:ascii="Times New Roman" w:hAnsi="Times New Roman" w:eastAsia="黑体" w:cs="Times New Roman"/>
          <w:color w:val="000000"/>
          <w:spacing w:val="0"/>
          <w:kern w:val="2"/>
          <w:sz w:val="24"/>
          <w:szCs w:val="24"/>
          <w:lang w:val="en-US" w:eastAsia="zh-CN" w:bidi="ar-SA"/>
        </w:rPr>
      </w:pPr>
      <w:bookmarkStart w:id="14" w:name="_Toc31936_WPSOffice_Level1"/>
      <w:r>
        <w:rPr>
          <w:rFonts w:hint="default" w:ascii="Times New Roman" w:hAnsi="Times New Roman" w:eastAsia="黑体" w:cs="Times New Roman"/>
          <w:color w:val="000000"/>
          <w:spacing w:val="0"/>
          <w:kern w:val="2"/>
          <w:sz w:val="24"/>
          <w:szCs w:val="24"/>
          <w:lang w:val="en-US" w:eastAsia="zh-CN" w:bidi="ar-SA"/>
        </w:rPr>
        <w:t>工程概况</w:t>
      </w:r>
      <w:bookmarkEnd w:id="14"/>
    </w:p>
    <w:p>
      <w:pPr>
        <w:pStyle w:val="6"/>
        <w:keepNext w:val="0"/>
        <w:keepLines w:val="0"/>
        <w:numPr>
          <w:ilvl w:val="3"/>
          <w:numId w:val="3"/>
        </w:numPr>
        <w:tabs>
          <w:tab w:val="left" w:pos="567"/>
          <w:tab w:val="clear" w:pos="600"/>
        </w:tabs>
        <w:kinsoku w:val="0"/>
        <w:spacing w:before="163" w:beforeLines="50" w:after="163" w:afterLines="50" w:line="360" w:lineRule="auto"/>
        <w:ind w:left="0" w:firstLine="0"/>
        <w:jc w:val="left"/>
        <w:rPr>
          <w:rFonts w:hint="default" w:ascii="Times New Roman" w:hAnsi="Times New Roman" w:eastAsia="黑体" w:cs="Times New Roman"/>
          <w:b w:val="0"/>
          <w:color w:val="auto"/>
          <w:spacing w:val="0"/>
          <w:sz w:val="24"/>
          <w:szCs w:val="24"/>
        </w:rPr>
      </w:pPr>
      <w:r>
        <w:rPr>
          <w:rFonts w:hint="default" w:ascii="Times New Roman" w:hAnsi="Times New Roman" w:eastAsia="黑体" w:cs="Times New Roman"/>
          <w:b w:val="0"/>
          <w:color w:val="auto"/>
          <w:spacing w:val="0"/>
          <w:sz w:val="24"/>
          <w:szCs w:val="24"/>
        </w:rPr>
        <w:t>厂址概述</w:t>
      </w:r>
    </w:p>
    <w:p>
      <w:pPr>
        <w:spacing w:line="360" w:lineRule="auto"/>
        <w:ind w:firstLine="480" w:firstLineChars="200"/>
        <w:rPr>
          <w:rFonts w:hint="default" w:ascii="Times New Roman" w:hAnsi="Times New Roman" w:cs="Times New Roman"/>
          <w:bCs/>
          <w:color w:val="auto"/>
          <w:kern w:val="2"/>
          <w:sz w:val="24"/>
          <w:szCs w:val="24"/>
        </w:rPr>
      </w:pPr>
      <w:r>
        <w:rPr>
          <w:rFonts w:hint="default" w:ascii="Times New Roman" w:hAnsi="Times New Roman" w:cs="Times New Roman"/>
          <w:b w:val="0"/>
          <w:color w:val="auto"/>
          <w:sz w:val="24"/>
          <w:szCs w:val="24"/>
        </w:rPr>
        <w:t>四川泸州川南发电有限责任公司</w:t>
      </w:r>
      <w:r>
        <w:rPr>
          <w:rFonts w:hint="default" w:ascii="Times New Roman" w:hAnsi="Times New Roman" w:cs="Times New Roman"/>
          <w:bCs/>
          <w:color w:val="auto"/>
          <w:kern w:val="2"/>
          <w:sz w:val="24"/>
          <w:szCs w:val="24"/>
        </w:rPr>
        <w:t>厂址位于泸州市江阳区江北镇，西北距江北镇最近点约600m，东北距泸州市区边缘直线距离约15km，公路距离约30km，东面距纳溪区约7.5km，南面距长江北岸约2km。</w:t>
      </w:r>
    </w:p>
    <w:p>
      <w:pPr>
        <w:pStyle w:val="6"/>
        <w:keepNext w:val="0"/>
        <w:keepLines w:val="0"/>
        <w:numPr>
          <w:ilvl w:val="3"/>
          <w:numId w:val="3"/>
        </w:numPr>
        <w:tabs>
          <w:tab w:val="left" w:pos="567"/>
          <w:tab w:val="clear" w:pos="600"/>
        </w:tabs>
        <w:kinsoku w:val="0"/>
        <w:spacing w:before="163" w:beforeLines="50" w:after="163" w:afterLines="50" w:line="360" w:lineRule="auto"/>
        <w:ind w:left="0" w:firstLine="0"/>
        <w:jc w:val="left"/>
        <w:rPr>
          <w:rFonts w:hint="default" w:ascii="Times New Roman" w:hAnsi="Times New Roman" w:eastAsia="黑体" w:cs="Times New Roman"/>
          <w:b w:val="0"/>
          <w:color w:val="auto"/>
          <w:spacing w:val="0"/>
          <w:sz w:val="24"/>
          <w:szCs w:val="24"/>
        </w:rPr>
      </w:pPr>
      <w:r>
        <w:rPr>
          <w:rFonts w:hint="default" w:ascii="Times New Roman" w:hAnsi="Times New Roman" w:eastAsia="黑体" w:cs="Times New Roman"/>
          <w:b w:val="0"/>
          <w:color w:val="auto"/>
          <w:spacing w:val="0"/>
          <w:sz w:val="24"/>
          <w:szCs w:val="24"/>
        </w:rPr>
        <w:t>气象条件</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rPr>
        <w:t>气压（hpa）</w:t>
      </w:r>
    </w:p>
    <w:p>
      <w:pPr>
        <w:spacing w:line="360" w:lineRule="auto"/>
        <w:ind w:firstLine="480" w:firstLineChars="200"/>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rPr>
        <w:t>多年平均气压</w:t>
      </w:r>
      <w:r>
        <w:rPr>
          <w:rFonts w:hint="default" w:ascii="Times New Roman" w:hAnsi="Times New Roman" w:cs="Times New Roman"/>
          <w:b w:val="0"/>
          <w:color w:val="auto"/>
          <w:sz w:val="24"/>
          <w:szCs w:val="24"/>
        </w:rPr>
        <w:tab/>
      </w:r>
      <w:r>
        <w:rPr>
          <w:rFonts w:hint="default" w:ascii="Times New Roman" w:hAnsi="Times New Roman" w:cs="Times New Roman"/>
          <w:b w:val="0"/>
          <w:color w:val="auto"/>
          <w:sz w:val="24"/>
          <w:szCs w:val="24"/>
        </w:rPr>
        <w:t>973.2</w:t>
      </w:r>
    </w:p>
    <w:p>
      <w:pPr>
        <w:spacing w:line="360" w:lineRule="auto"/>
        <w:ind w:firstLine="480" w:firstLineChars="200"/>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rPr>
        <w:t>多年最高气压</w:t>
      </w:r>
      <w:r>
        <w:rPr>
          <w:rFonts w:hint="default" w:ascii="Times New Roman" w:hAnsi="Times New Roman" w:cs="Times New Roman"/>
          <w:b w:val="0"/>
          <w:color w:val="auto"/>
          <w:sz w:val="24"/>
          <w:szCs w:val="24"/>
        </w:rPr>
        <w:tab/>
      </w:r>
      <w:r>
        <w:rPr>
          <w:rFonts w:hint="default" w:ascii="Times New Roman" w:hAnsi="Times New Roman" w:cs="Times New Roman"/>
          <w:b w:val="0"/>
          <w:color w:val="auto"/>
          <w:sz w:val="24"/>
          <w:szCs w:val="24"/>
        </w:rPr>
        <w:t>1001.4（1969年4月4日）</w:t>
      </w:r>
    </w:p>
    <w:p>
      <w:pPr>
        <w:spacing w:line="360" w:lineRule="auto"/>
        <w:ind w:firstLine="480" w:firstLineChars="200"/>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rPr>
        <w:t>多年最低气压</w:t>
      </w:r>
      <w:r>
        <w:rPr>
          <w:rFonts w:hint="default" w:ascii="Times New Roman" w:hAnsi="Times New Roman" w:cs="Times New Roman"/>
          <w:b w:val="0"/>
          <w:color w:val="auto"/>
          <w:sz w:val="24"/>
          <w:szCs w:val="24"/>
        </w:rPr>
        <w:tab/>
      </w:r>
      <w:r>
        <w:rPr>
          <w:rFonts w:hint="default" w:ascii="Times New Roman" w:hAnsi="Times New Roman" w:cs="Times New Roman"/>
          <w:b w:val="0"/>
          <w:color w:val="auto"/>
          <w:sz w:val="24"/>
          <w:szCs w:val="24"/>
        </w:rPr>
        <w:t>946.8（1991年5月24日）</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rPr>
        <w:t>气温（℃）</w:t>
      </w:r>
    </w:p>
    <w:p>
      <w:pPr>
        <w:spacing w:line="360" w:lineRule="auto"/>
        <w:ind w:firstLine="480" w:firstLineChars="200"/>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rPr>
        <w:t>多年平均气温</w:t>
      </w:r>
      <w:r>
        <w:rPr>
          <w:rFonts w:hint="default" w:ascii="Times New Roman" w:hAnsi="Times New Roman" w:cs="Times New Roman"/>
          <w:b w:val="0"/>
          <w:color w:val="auto"/>
          <w:sz w:val="24"/>
          <w:szCs w:val="24"/>
        </w:rPr>
        <w:tab/>
      </w:r>
      <w:r>
        <w:rPr>
          <w:rFonts w:hint="default" w:ascii="Times New Roman" w:hAnsi="Times New Roman" w:cs="Times New Roman"/>
          <w:b w:val="0"/>
          <w:color w:val="auto"/>
          <w:sz w:val="24"/>
          <w:szCs w:val="24"/>
        </w:rPr>
        <w:t>17.6</w:t>
      </w:r>
    </w:p>
    <w:p>
      <w:pPr>
        <w:spacing w:line="360" w:lineRule="auto"/>
        <w:ind w:firstLine="480" w:firstLineChars="200"/>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rPr>
        <w:t>多年最高气温</w:t>
      </w:r>
      <w:r>
        <w:rPr>
          <w:rFonts w:hint="default" w:ascii="Times New Roman" w:hAnsi="Times New Roman" w:cs="Times New Roman"/>
          <w:b w:val="0"/>
          <w:color w:val="auto"/>
          <w:sz w:val="24"/>
          <w:szCs w:val="24"/>
        </w:rPr>
        <w:tab/>
      </w:r>
      <w:r>
        <w:rPr>
          <w:rFonts w:hint="default" w:ascii="Times New Roman" w:hAnsi="Times New Roman" w:cs="Times New Roman"/>
          <w:b w:val="0"/>
          <w:color w:val="auto"/>
          <w:sz w:val="24"/>
          <w:szCs w:val="24"/>
        </w:rPr>
        <w:t>40.2（1972年8月26日）</w:t>
      </w:r>
    </w:p>
    <w:p>
      <w:pPr>
        <w:spacing w:line="360" w:lineRule="auto"/>
        <w:ind w:firstLine="480" w:firstLineChars="200"/>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rPr>
        <w:t>多年最低气温</w:t>
      </w:r>
      <w:r>
        <w:rPr>
          <w:rFonts w:hint="default" w:ascii="Times New Roman" w:hAnsi="Times New Roman" w:cs="Times New Roman"/>
          <w:b w:val="0"/>
          <w:color w:val="auto"/>
          <w:sz w:val="24"/>
          <w:szCs w:val="24"/>
        </w:rPr>
        <w:tab/>
      </w:r>
      <w:r>
        <w:rPr>
          <w:rFonts w:hint="default" w:ascii="Times New Roman" w:hAnsi="Times New Roman" w:cs="Times New Roman"/>
          <w:b w:val="0"/>
          <w:color w:val="auto"/>
          <w:sz w:val="24"/>
          <w:szCs w:val="24"/>
        </w:rPr>
        <w:t>-1.6（1989年1月14日）</w:t>
      </w:r>
    </w:p>
    <w:p>
      <w:pPr>
        <w:spacing w:line="360" w:lineRule="auto"/>
        <w:ind w:firstLine="480" w:firstLineChars="200"/>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rPr>
        <w:t>最热月平均最高气温（8月）</w:t>
      </w:r>
      <w:r>
        <w:rPr>
          <w:rFonts w:hint="default" w:ascii="Times New Roman" w:hAnsi="Times New Roman" w:cs="Times New Roman"/>
          <w:b w:val="0"/>
          <w:color w:val="auto"/>
          <w:sz w:val="24"/>
          <w:szCs w:val="24"/>
        </w:rPr>
        <w:tab/>
      </w:r>
      <w:r>
        <w:rPr>
          <w:rFonts w:hint="default" w:ascii="Times New Roman" w:hAnsi="Times New Roman" w:cs="Times New Roman"/>
          <w:b w:val="0"/>
          <w:color w:val="auto"/>
          <w:sz w:val="24"/>
          <w:szCs w:val="24"/>
        </w:rPr>
        <w:t>31.4</w:t>
      </w:r>
    </w:p>
    <w:p>
      <w:pPr>
        <w:spacing w:line="360" w:lineRule="auto"/>
        <w:ind w:firstLine="480" w:firstLineChars="200"/>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rPr>
        <w:t>最近10a最大日温差</w:t>
      </w:r>
      <w:r>
        <w:rPr>
          <w:rFonts w:hint="default" w:ascii="Times New Roman" w:hAnsi="Times New Roman" w:cs="Times New Roman"/>
          <w:b w:val="0"/>
          <w:color w:val="auto"/>
          <w:sz w:val="24"/>
          <w:szCs w:val="24"/>
        </w:rPr>
        <w:tab/>
      </w:r>
      <w:r>
        <w:rPr>
          <w:rFonts w:hint="default" w:ascii="Times New Roman" w:hAnsi="Times New Roman" w:cs="Times New Roman"/>
          <w:b w:val="0"/>
          <w:color w:val="auto"/>
          <w:sz w:val="24"/>
          <w:szCs w:val="24"/>
        </w:rPr>
        <w:t>16.5（1998年4月24日）</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rPr>
        <w:t>相对湿度（%）</w:t>
      </w:r>
    </w:p>
    <w:p>
      <w:pPr>
        <w:spacing w:line="360" w:lineRule="auto"/>
        <w:ind w:firstLine="480" w:firstLineChars="200"/>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rPr>
        <w:t>多年平均相对湿度</w:t>
      </w:r>
      <w:r>
        <w:rPr>
          <w:rFonts w:hint="default" w:ascii="Times New Roman" w:hAnsi="Times New Roman" w:cs="Times New Roman"/>
          <w:b w:val="0"/>
          <w:color w:val="auto"/>
          <w:sz w:val="24"/>
          <w:szCs w:val="24"/>
        </w:rPr>
        <w:tab/>
      </w:r>
      <w:r>
        <w:rPr>
          <w:rFonts w:hint="default" w:ascii="Times New Roman" w:hAnsi="Times New Roman" w:cs="Times New Roman"/>
          <w:b w:val="0"/>
          <w:color w:val="auto"/>
          <w:sz w:val="24"/>
          <w:szCs w:val="24"/>
        </w:rPr>
        <w:t>84</w:t>
      </w:r>
    </w:p>
    <w:p>
      <w:pPr>
        <w:spacing w:line="360" w:lineRule="auto"/>
        <w:ind w:firstLine="480" w:firstLineChars="200"/>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rPr>
        <w:t>多年最大相对湿度</w:t>
      </w:r>
      <w:r>
        <w:rPr>
          <w:rFonts w:hint="default" w:ascii="Times New Roman" w:hAnsi="Times New Roman" w:cs="Times New Roman"/>
          <w:b w:val="0"/>
          <w:color w:val="auto"/>
          <w:sz w:val="24"/>
          <w:szCs w:val="24"/>
        </w:rPr>
        <w:tab/>
      </w:r>
      <w:r>
        <w:rPr>
          <w:rFonts w:hint="default" w:ascii="Times New Roman" w:hAnsi="Times New Roman" w:cs="Times New Roman"/>
          <w:b w:val="0"/>
          <w:color w:val="auto"/>
          <w:sz w:val="24"/>
          <w:szCs w:val="24"/>
        </w:rPr>
        <w:t>100</w:t>
      </w:r>
    </w:p>
    <w:p>
      <w:pPr>
        <w:spacing w:line="360" w:lineRule="auto"/>
        <w:ind w:firstLine="480" w:firstLineChars="200"/>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rPr>
        <w:t>多年最小相对湿度</w:t>
      </w:r>
      <w:r>
        <w:rPr>
          <w:rFonts w:hint="default" w:ascii="Times New Roman" w:hAnsi="Times New Roman" w:cs="Times New Roman"/>
          <w:b w:val="0"/>
          <w:color w:val="auto"/>
          <w:sz w:val="24"/>
          <w:szCs w:val="24"/>
        </w:rPr>
        <w:tab/>
      </w:r>
      <w:r>
        <w:rPr>
          <w:rFonts w:hint="default" w:ascii="Times New Roman" w:hAnsi="Times New Roman" w:cs="Times New Roman"/>
          <w:b w:val="0"/>
          <w:color w:val="auto"/>
          <w:sz w:val="24"/>
          <w:szCs w:val="24"/>
        </w:rPr>
        <w:t>21</w:t>
      </w:r>
    </w:p>
    <w:p>
      <w:pPr>
        <w:spacing w:line="360" w:lineRule="auto"/>
        <w:ind w:firstLine="480" w:firstLineChars="200"/>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rPr>
        <w:t>湿度最高月份的平均相对湿度</w:t>
      </w:r>
      <w:r>
        <w:rPr>
          <w:rFonts w:hint="default" w:ascii="Times New Roman" w:hAnsi="Times New Roman" w:cs="Times New Roman"/>
          <w:b w:val="0"/>
          <w:color w:val="auto"/>
          <w:sz w:val="24"/>
          <w:szCs w:val="24"/>
        </w:rPr>
        <w:tab/>
      </w:r>
      <w:r>
        <w:rPr>
          <w:rFonts w:hint="default" w:ascii="Times New Roman" w:hAnsi="Times New Roman" w:cs="Times New Roman"/>
          <w:b w:val="0"/>
          <w:color w:val="auto"/>
          <w:sz w:val="24"/>
          <w:szCs w:val="24"/>
        </w:rPr>
        <w:t>88</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rPr>
        <w:t>降水量（mm）</w:t>
      </w:r>
    </w:p>
    <w:p>
      <w:pPr>
        <w:spacing w:line="360" w:lineRule="auto"/>
        <w:ind w:firstLine="480" w:firstLineChars="200"/>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rPr>
        <w:t>多年年平均降水量</w:t>
      </w:r>
      <w:r>
        <w:rPr>
          <w:rFonts w:hint="default" w:ascii="Times New Roman" w:hAnsi="Times New Roman" w:cs="Times New Roman"/>
          <w:b w:val="0"/>
          <w:color w:val="auto"/>
          <w:sz w:val="24"/>
          <w:szCs w:val="24"/>
        </w:rPr>
        <w:tab/>
      </w:r>
      <w:r>
        <w:rPr>
          <w:rFonts w:hint="default" w:ascii="Times New Roman" w:hAnsi="Times New Roman" w:cs="Times New Roman"/>
          <w:b w:val="0"/>
          <w:color w:val="auto"/>
          <w:sz w:val="24"/>
          <w:szCs w:val="24"/>
        </w:rPr>
        <w:t>1114.6</w:t>
      </w:r>
    </w:p>
    <w:p>
      <w:pPr>
        <w:spacing w:line="360" w:lineRule="auto"/>
        <w:ind w:firstLine="480" w:firstLineChars="200"/>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rPr>
        <w:t>多年年最大降水量</w:t>
      </w:r>
      <w:r>
        <w:rPr>
          <w:rFonts w:hint="default" w:ascii="Times New Roman" w:hAnsi="Times New Roman" w:cs="Times New Roman"/>
          <w:b w:val="0"/>
          <w:color w:val="auto"/>
          <w:sz w:val="24"/>
          <w:szCs w:val="24"/>
        </w:rPr>
        <w:tab/>
      </w:r>
      <w:r>
        <w:rPr>
          <w:rFonts w:hint="default" w:ascii="Times New Roman" w:hAnsi="Times New Roman" w:cs="Times New Roman"/>
          <w:b w:val="0"/>
          <w:color w:val="auto"/>
          <w:sz w:val="24"/>
          <w:szCs w:val="24"/>
        </w:rPr>
        <w:t>1483.5（1962年）</w:t>
      </w:r>
    </w:p>
    <w:p>
      <w:pPr>
        <w:spacing w:line="360" w:lineRule="auto"/>
        <w:ind w:firstLine="480" w:firstLineChars="200"/>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rPr>
        <w:t>多年年最小降水量</w:t>
      </w:r>
      <w:r>
        <w:rPr>
          <w:rFonts w:hint="default" w:ascii="Times New Roman" w:hAnsi="Times New Roman" w:cs="Times New Roman"/>
          <w:b w:val="0"/>
          <w:color w:val="auto"/>
          <w:sz w:val="24"/>
          <w:szCs w:val="24"/>
        </w:rPr>
        <w:tab/>
      </w:r>
      <w:r>
        <w:rPr>
          <w:rFonts w:hint="default" w:ascii="Times New Roman" w:hAnsi="Times New Roman" w:cs="Times New Roman"/>
          <w:b w:val="0"/>
          <w:color w:val="auto"/>
          <w:sz w:val="24"/>
          <w:szCs w:val="24"/>
        </w:rPr>
        <w:t>777.6（1960年）</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rPr>
        <w:t>其它</w:t>
      </w:r>
    </w:p>
    <w:p>
      <w:pPr>
        <w:spacing w:line="360" w:lineRule="auto"/>
        <w:ind w:firstLine="480" w:firstLineChars="200"/>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rPr>
        <w:t>导线覆冰厚度（mm）0</w:t>
      </w:r>
    </w:p>
    <w:p>
      <w:pPr>
        <w:spacing w:line="360" w:lineRule="auto"/>
        <w:ind w:firstLine="480" w:firstLineChars="200"/>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rPr>
        <w:t>多年年总辐射量（ kWh/m</w:t>
      </w:r>
      <w:r>
        <w:rPr>
          <w:rFonts w:hint="default" w:ascii="Times New Roman" w:hAnsi="Times New Roman" w:cs="Times New Roman"/>
          <w:b w:val="0"/>
          <w:color w:val="auto"/>
          <w:sz w:val="24"/>
          <w:szCs w:val="24"/>
          <w:vertAlign w:val="superscript"/>
        </w:rPr>
        <w:t>2</w:t>
      </w:r>
      <w:r>
        <w:rPr>
          <w:rFonts w:hint="default" w:ascii="Times New Roman" w:hAnsi="Times New Roman" w:cs="Times New Roman"/>
          <w:b w:val="0"/>
          <w:color w:val="auto"/>
          <w:sz w:val="24"/>
          <w:szCs w:val="24"/>
        </w:rPr>
        <w:t>）872.61</w:t>
      </w:r>
    </w:p>
    <w:p>
      <w:pPr>
        <w:spacing w:line="360" w:lineRule="auto"/>
        <w:ind w:firstLine="480" w:firstLineChars="200"/>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rPr>
        <w:t>最大冻土深度 该地区无冻土</w:t>
      </w:r>
    </w:p>
    <w:p>
      <w:pPr>
        <w:spacing w:line="360" w:lineRule="auto"/>
        <w:ind w:firstLine="480" w:firstLineChars="200"/>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rPr>
        <w:t>全年主导风向 N和NE</w:t>
      </w:r>
    </w:p>
    <w:p>
      <w:pPr>
        <w:spacing w:line="360" w:lineRule="auto"/>
        <w:ind w:firstLine="480" w:firstLineChars="200"/>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rPr>
        <w:t>夏季主导风向 NW</w:t>
      </w:r>
    </w:p>
    <w:p>
      <w:pPr>
        <w:spacing w:line="360" w:lineRule="auto"/>
        <w:ind w:firstLine="480" w:firstLineChars="200"/>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rPr>
        <w:t>冬季主导风向 N和NE</w:t>
      </w:r>
    </w:p>
    <w:p>
      <w:pPr>
        <w:pStyle w:val="6"/>
        <w:keepNext w:val="0"/>
        <w:keepLines w:val="0"/>
        <w:numPr>
          <w:ilvl w:val="3"/>
          <w:numId w:val="3"/>
        </w:numPr>
        <w:tabs>
          <w:tab w:val="left" w:pos="567"/>
          <w:tab w:val="clear" w:pos="600"/>
        </w:tabs>
        <w:kinsoku w:val="0"/>
        <w:spacing w:before="163" w:beforeLines="50" w:after="163" w:afterLines="50" w:line="360" w:lineRule="auto"/>
        <w:ind w:left="0" w:firstLine="0"/>
        <w:jc w:val="left"/>
        <w:rPr>
          <w:rFonts w:hint="default" w:ascii="Times New Roman" w:hAnsi="Times New Roman" w:eastAsia="黑体" w:cs="Times New Roman"/>
          <w:b w:val="0"/>
          <w:color w:val="auto"/>
          <w:spacing w:val="0"/>
          <w:sz w:val="24"/>
          <w:szCs w:val="24"/>
        </w:rPr>
      </w:pPr>
      <w:r>
        <w:rPr>
          <w:rFonts w:hint="default" w:ascii="Times New Roman" w:hAnsi="Times New Roman" w:eastAsia="黑体" w:cs="Times New Roman"/>
          <w:b w:val="0"/>
          <w:color w:val="auto"/>
          <w:spacing w:val="0"/>
          <w:sz w:val="24"/>
          <w:szCs w:val="24"/>
        </w:rPr>
        <w:t>脱硫系统简要描述</w:t>
      </w:r>
    </w:p>
    <w:p>
      <w:pPr>
        <w:spacing w:line="360" w:lineRule="auto"/>
        <w:ind w:firstLine="480" w:firstLineChars="200"/>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lang w:eastAsia="zh-CN"/>
        </w:rPr>
        <w:t>我公司</w:t>
      </w:r>
      <w:r>
        <w:rPr>
          <w:rFonts w:hint="default" w:ascii="Times New Roman" w:hAnsi="Times New Roman" w:cs="Times New Roman"/>
          <w:b w:val="0"/>
          <w:color w:val="auto"/>
          <w:sz w:val="24"/>
          <w:szCs w:val="24"/>
          <w:lang w:val="en-US" w:eastAsia="zh-CN"/>
        </w:rPr>
        <w:t>2×600MW机组脱硫工艺采用的是“</w:t>
      </w:r>
      <w:r>
        <w:rPr>
          <w:rFonts w:hint="default" w:ascii="Times New Roman" w:hAnsi="Times New Roman" w:cs="Times New Roman"/>
          <w:b w:val="0"/>
          <w:color w:val="auto"/>
          <w:sz w:val="24"/>
          <w:szCs w:val="24"/>
          <w:lang w:eastAsia="zh-CN"/>
        </w:rPr>
        <w:t>双塔双循环</w:t>
      </w:r>
      <w:r>
        <w:rPr>
          <w:rFonts w:hint="default" w:ascii="Times New Roman" w:hAnsi="Times New Roman" w:cs="Times New Roman"/>
          <w:b w:val="0"/>
          <w:color w:val="auto"/>
          <w:sz w:val="24"/>
          <w:szCs w:val="24"/>
          <w:lang w:val="en-US" w:eastAsia="zh-CN"/>
        </w:rPr>
        <w:t>”、石灰石-石膏湿法烟气脱硫工艺。</w:t>
      </w:r>
      <w:r>
        <w:rPr>
          <w:rFonts w:hint="default" w:ascii="Times New Roman" w:hAnsi="Times New Roman" w:cs="Times New Roman"/>
          <w:b w:val="0"/>
          <w:color w:val="auto"/>
          <w:sz w:val="24"/>
          <w:szCs w:val="24"/>
        </w:rPr>
        <w:t>FGD工艺系统主要由石灰石浆液制备系统、石膏脱水系统、烟气系统、SO</w:t>
      </w:r>
      <w:r>
        <w:rPr>
          <w:rFonts w:hint="default" w:ascii="Times New Roman" w:hAnsi="Times New Roman" w:cs="Times New Roman"/>
          <w:b w:val="0"/>
          <w:color w:val="auto"/>
          <w:sz w:val="24"/>
          <w:szCs w:val="24"/>
          <w:vertAlign w:val="subscript"/>
        </w:rPr>
        <w:t>2</w:t>
      </w:r>
      <w:r>
        <w:rPr>
          <w:rFonts w:hint="default" w:ascii="Times New Roman" w:hAnsi="Times New Roman" w:cs="Times New Roman"/>
          <w:b w:val="0"/>
          <w:color w:val="auto"/>
          <w:sz w:val="24"/>
          <w:szCs w:val="24"/>
        </w:rPr>
        <w:t>吸收系统、废水处理系统、工艺水系统及压缩空气系统等组成。粒径为2-20mm的石灰石经过卸料仓——仓底皮带输送机——斗式提升机——（仓顶皮带输送机）——给料仓——称重皮带给料机，与石灰石旋流站分离出的石灰石浆液一同进入湿磨机进行破碎、研磨、制成浆液后进入湿磨机浆液循环箱，由湿磨机循环泵输送到石灰石浆液箱，再由石灰石给浆泵送入吸收塔。吸收塔内浆液经浆液循环泵送到喷淋装置喷淋。锅炉排出的烟气经引风机送入混凝土公用烟道后，</w:t>
      </w:r>
      <w:r>
        <w:rPr>
          <w:rFonts w:hint="default" w:ascii="Times New Roman" w:hAnsi="Times New Roman" w:cs="Times New Roman"/>
          <w:b w:val="0"/>
          <w:color w:val="auto"/>
          <w:sz w:val="24"/>
          <w:szCs w:val="24"/>
          <w:lang w:eastAsia="zh-CN"/>
        </w:rPr>
        <w:t>再</w:t>
      </w:r>
      <w:r>
        <w:rPr>
          <w:rFonts w:hint="default" w:ascii="Times New Roman" w:hAnsi="Times New Roman" w:cs="Times New Roman"/>
          <w:b w:val="0"/>
          <w:color w:val="auto"/>
          <w:sz w:val="24"/>
          <w:szCs w:val="24"/>
        </w:rPr>
        <w:t>进入</w:t>
      </w:r>
      <w:r>
        <w:rPr>
          <w:rFonts w:hint="default" w:ascii="Times New Roman" w:hAnsi="Times New Roman" w:cs="Times New Roman"/>
          <w:b w:val="0"/>
          <w:color w:val="auto"/>
          <w:sz w:val="24"/>
          <w:szCs w:val="24"/>
          <w:lang w:eastAsia="zh-CN"/>
        </w:rPr>
        <w:t>脱硫</w:t>
      </w:r>
      <w:r>
        <w:rPr>
          <w:rFonts w:hint="default" w:ascii="Times New Roman" w:hAnsi="Times New Roman" w:cs="Times New Roman"/>
          <w:b w:val="0"/>
          <w:color w:val="auto"/>
          <w:sz w:val="24"/>
          <w:szCs w:val="24"/>
        </w:rPr>
        <w:t>吸收塔。烟气在吸收塔中与喷淋的石灰石浆液接触，除掉烟气中的SO</w:t>
      </w:r>
      <w:r>
        <w:rPr>
          <w:rFonts w:hint="default" w:ascii="Times New Roman" w:hAnsi="Times New Roman" w:cs="Times New Roman"/>
          <w:b w:val="0"/>
          <w:color w:val="auto"/>
          <w:sz w:val="24"/>
          <w:szCs w:val="24"/>
          <w:vertAlign w:val="subscript"/>
        </w:rPr>
        <w:t>2</w:t>
      </w:r>
      <w:r>
        <w:rPr>
          <w:rFonts w:hint="default" w:ascii="Times New Roman" w:hAnsi="Times New Roman" w:cs="Times New Roman"/>
          <w:b w:val="0"/>
          <w:color w:val="auto"/>
          <w:sz w:val="24"/>
          <w:szCs w:val="24"/>
        </w:rPr>
        <w:t>，洁净烟气回到混凝土公用烟道，经烟囱排向大气。吸收塔内吸收SO</w:t>
      </w:r>
      <w:r>
        <w:rPr>
          <w:rFonts w:hint="default" w:ascii="Times New Roman" w:hAnsi="Times New Roman" w:cs="Times New Roman"/>
          <w:b w:val="0"/>
          <w:color w:val="auto"/>
          <w:sz w:val="24"/>
          <w:szCs w:val="24"/>
          <w:vertAlign w:val="subscript"/>
        </w:rPr>
        <w:t>2</w:t>
      </w:r>
      <w:r>
        <w:rPr>
          <w:rFonts w:hint="default" w:ascii="Times New Roman" w:hAnsi="Times New Roman" w:cs="Times New Roman"/>
          <w:b w:val="0"/>
          <w:color w:val="auto"/>
          <w:sz w:val="24"/>
          <w:szCs w:val="24"/>
        </w:rPr>
        <w:t>后生成的亚硫酸钙，经氧化处理生成硫酸钙，从吸收塔内排出的硫酸钙经旋流分离（浓缩）、真空脱水后回收利用。</w:t>
      </w:r>
    </w:p>
    <w:p>
      <w:pPr>
        <w:keepNext/>
        <w:keepLines w:val="0"/>
        <w:pageBreakBefore w:val="0"/>
        <w:widowControl w:val="0"/>
        <w:numPr>
          <w:ilvl w:val="2"/>
          <w:numId w:val="3"/>
        </w:numPr>
        <w:tabs>
          <w:tab w:val="left" w:pos="420"/>
          <w:tab w:val="clear" w:pos="1021"/>
        </w:tabs>
        <w:kinsoku/>
        <w:wordWrap/>
        <w:overflowPunct/>
        <w:topLinePunct w:val="0"/>
        <w:autoSpaceDE/>
        <w:autoSpaceDN/>
        <w:bidi w:val="0"/>
        <w:adjustRightInd w:val="0"/>
        <w:snapToGrid/>
        <w:spacing w:before="157" w:beforeLines="50" w:after="157" w:afterLines="50" w:line="360" w:lineRule="auto"/>
        <w:ind w:left="0" w:firstLine="0"/>
        <w:jc w:val="left"/>
        <w:textAlignment w:val="baseline"/>
        <w:outlineLvl w:val="2"/>
        <w:rPr>
          <w:rFonts w:hint="default" w:ascii="Times New Roman" w:hAnsi="Times New Roman" w:eastAsia="黑体" w:cs="Times New Roman"/>
          <w:color w:val="000000"/>
          <w:spacing w:val="0"/>
          <w:kern w:val="2"/>
          <w:sz w:val="24"/>
          <w:szCs w:val="24"/>
          <w:lang w:val="en-US" w:eastAsia="zh-CN" w:bidi="ar-SA"/>
        </w:rPr>
      </w:pPr>
      <w:bookmarkStart w:id="15" w:name="_Toc473050568"/>
      <w:bookmarkStart w:id="16" w:name="_Toc229800272"/>
      <w:bookmarkStart w:id="17" w:name="_Toc473050773"/>
      <w:bookmarkStart w:id="18" w:name="_Toc473051157"/>
      <w:bookmarkStart w:id="19" w:name="_Toc10753_WPSOffice_Level1"/>
      <w:r>
        <w:rPr>
          <w:rFonts w:hint="default" w:ascii="Times New Roman" w:hAnsi="Times New Roman" w:eastAsia="黑体" w:cs="Times New Roman"/>
          <w:color w:val="000000"/>
          <w:spacing w:val="0"/>
          <w:kern w:val="2"/>
          <w:sz w:val="24"/>
          <w:szCs w:val="24"/>
          <w:lang w:val="en-US" w:eastAsia="zh-CN" w:bidi="ar-SA"/>
        </w:rPr>
        <w:t>编制依据</w:t>
      </w:r>
      <w:bookmarkEnd w:id="15"/>
      <w:bookmarkEnd w:id="16"/>
      <w:bookmarkEnd w:id="17"/>
      <w:bookmarkEnd w:id="18"/>
      <w:bookmarkEnd w:id="19"/>
    </w:p>
    <w:p>
      <w:pPr>
        <w:spacing w:line="360" w:lineRule="auto"/>
        <w:ind w:firstLine="480" w:firstLineChars="200"/>
        <w:rPr>
          <w:rFonts w:hint="default" w:ascii="Times New Roman" w:hAnsi="Times New Roman" w:cs="Times New Roman"/>
          <w:b w:val="0"/>
          <w:color w:val="auto"/>
          <w:sz w:val="24"/>
          <w:szCs w:val="24"/>
          <w:lang w:val="en-US" w:eastAsia="zh-CN"/>
        </w:rPr>
      </w:pPr>
      <w:r>
        <w:rPr>
          <w:rFonts w:hint="default" w:ascii="Times New Roman" w:hAnsi="Times New Roman" w:cs="Times New Roman"/>
          <w:b w:val="0"/>
          <w:color w:val="auto"/>
          <w:sz w:val="24"/>
          <w:szCs w:val="24"/>
          <w:lang w:eastAsia="zh-CN"/>
        </w:rPr>
        <w:t>《</w:t>
      </w:r>
      <w:r>
        <w:rPr>
          <w:rFonts w:hint="default" w:ascii="Times New Roman" w:hAnsi="Times New Roman" w:cs="Times New Roman"/>
          <w:b w:val="0"/>
          <w:color w:val="auto"/>
          <w:sz w:val="24"/>
          <w:szCs w:val="24"/>
          <w:lang w:val="en-US" w:eastAsia="zh-CN"/>
        </w:rPr>
        <w:t>防止电力生产事故的二十五项重点要求</w:t>
      </w:r>
      <w:r>
        <w:rPr>
          <w:rFonts w:hint="default" w:ascii="Times New Roman" w:hAnsi="Times New Roman" w:cs="Times New Roman"/>
          <w:b w:val="0"/>
          <w:color w:val="auto"/>
          <w:sz w:val="24"/>
          <w:szCs w:val="24"/>
          <w:lang w:eastAsia="zh-CN"/>
        </w:rPr>
        <w:t>》（</w:t>
      </w:r>
      <w:r>
        <w:rPr>
          <w:rFonts w:hint="default" w:ascii="Times New Roman" w:hAnsi="Times New Roman" w:cs="Times New Roman"/>
          <w:b w:val="0"/>
          <w:color w:val="auto"/>
          <w:sz w:val="24"/>
          <w:szCs w:val="24"/>
          <w:lang w:val="en-US" w:eastAsia="zh-CN"/>
        </w:rPr>
        <w:t>2023版）</w:t>
      </w:r>
    </w:p>
    <w:p>
      <w:pPr>
        <w:spacing w:line="360" w:lineRule="auto"/>
        <w:ind w:firstLine="480" w:firstLineChars="200"/>
        <w:rPr>
          <w:rFonts w:hint="default" w:ascii="Times New Roman" w:hAnsi="Times New Roman" w:cs="Times New Roman"/>
          <w:b w:val="0"/>
          <w:color w:val="auto"/>
          <w:sz w:val="24"/>
          <w:szCs w:val="24"/>
          <w:lang w:val="en-US" w:eastAsia="zh-CN"/>
        </w:rPr>
      </w:pPr>
      <w:r>
        <w:rPr>
          <w:rFonts w:hint="default" w:ascii="Times New Roman" w:hAnsi="Times New Roman" w:cs="Times New Roman"/>
          <w:b w:val="0"/>
          <w:color w:val="auto"/>
          <w:sz w:val="24"/>
          <w:szCs w:val="24"/>
          <w:lang w:val="en-US" w:eastAsia="zh-CN"/>
        </w:rPr>
        <w:t>《电力安全工作规程》（GB26859-2011）</w:t>
      </w:r>
    </w:p>
    <w:p>
      <w:pPr>
        <w:spacing w:line="360" w:lineRule="auto"/>
        <w:ind w:firstLine="480" w:firstLineChars="200"/>
        <w:rPr>
          <w:rFonts w:hint="default" w:ascii="Times New Roman" w:hAnsi="Times New Roman" w:cs="Times New Roman"/>
          <w:b w:val="0"/>
          <w:color w:val="auto"/>
          <w:sz w:val="24"/>
          <w:szCs w:val="24"/>
          <w:lang w:val="en-US" w:eastAsia="zh-CN"/>
        </w:rPr>
      </w:pPr>
      <w:r>
        <w:rPr>
          <w:rFonts w:hint="default" w:ascii="Times New Roman" w:hAnsi="Times New Roman" w:cs="Times New Roman"/>
          <w:b w:val="0"/>
          <w:color w:val="auto"/>
          <w:sz w:val="24"/>
          <w:szCs w:val="24"/>
          <w:lang w:val="en-US" w:eastAsia="zh-CN"/>
        </w:rPr>
        <w:t>《固定式钢梯及平台安全要求 第1部分：钢直梯》（GB 4053.1-2009）</w:t>
      </w:r>
    </w:p>
    <w:p>
      <w:pPr>
        <w:spacing w:line="360" w:lineRule="auto"/>
        <w:ind w:firstLine="480" w:firstLineChars="200"/>
        <w:rPr>
          <w:rFonts w:hint="default" w:ascii="Times New Roman" w:hAnsi="Times New Roman" w:cs="Times New Roman"/>
          <w:b w:val="0"/>
          <w:color w:val="auto"/>
          <w:sz w:val="24"/>
          <w:szCs w:val="24"/>
          <w:lang w:val="en-US" w:eastAsia="zh-CN"/>
        </w:rPr>
      </w:pPr>
      <w:r>
        <w:rPr>
          <w:rFonts w:hint="default" w:ascii="Times New Roman" w:hAnsi="Times New Roman" w:cs="Times New Roman"/>
          <w:b w:val="0"/>
          <w:color w:val="auto"/>
          <w:sz w:val="24"/>
          <w:szCs w:val="24"/>
          <w:lang w:val="en-US" w:eastAsia="zh-CN"/>
        </w:rPr>
        <w:t>《固定式钢梯及平台安全要求 第2部分：钢斜梯》（GB 4053.2-2009）</w:t>
      </w:r>
    </w:p>
    <w:p>
      <w:pPr>
        <w:spacing w:line="360" w:lineRule="auto"/>
        <w:ind w:firstLine="480" w:firstLineChars="200"/>
        <w:rPr>
          <w:rFonts w:hint="default" w:ascii="Times New Roman" w:hAnsi="Times New Roman" w:cs="Times New Roman"/>
          <w:b w:val="0"/>
          <w:color w:val="auto"/>
          <w:sz w:val="24"/>
          <w:szCs w:val="24"/>
          <w:lang w:val="en-US" w:eastAsia="zh-CN"/>
        </w:rPr>
      </w:pPr>
      <w:r>
        <w:rPr>
          <w:rFonts w:hint="default" w:ascii="Times New Roman" w:hAnsi="Times New Roman" w:cs="Times New Roman"/>
          <w:b w:val="0"/>
          <w:color w:val="auto"/>
          <w:sz w:val="24"/>
          <w:szCs w:val="24"/>
          <w:lang w:val="en-US" w:eastAsia="zh-CN"/>
        </w:rPr>
        <w:t>《固定式钢梯及平台安全要求 第3部分：工业防护栏杆及钢平台》（GB 4053.3-2009）</w:t>
      </w:r>
    </w:p>
    <w:p>
      <w:pPr>
        <w:spacing w:line="360" w:lineRule="auto"/>
        <w:ind w:firstLine="480" w:firstLineChars="200"/>
        <w:rPr>
          <w:rFonts w:hint="default" w:ascii="Times New Roman" w:hAnsi="Times New Roman" w:cs="Times New Roman"/>
          <w:b w:val="0"/>
          <w:color w:val="auto"/>
          <w:sz w:val="24"/>
          <w:szCs w:val="24"/>
          <w:lang w:val="en-US" w:eastAsia="zh-CN"/>
        </w:rPr>
      </w:pPr>
      <w:r>
        <w:rPr>
          <w:rFonts w:hint="default" w:ascii="Times New Roman" w:hAnsi="Times New Roman" w:cs="Times New Roman"/>
          <w:b w:val="0"/>
          <w:color w:val="auto"/>
          <w:sz w:val="24"/>
          <w:szCs w:val="24"/>
          <w:lang w:val="en-US" w:eastAsia="zh-CN"/>
        </w:rPr>
        <w:t>《火力发电厂钢制平台扶梯设计技术规定》（DLGJ 158-2001）</w:t>
      </w:r>
    </w:p>
    <w:p>
      <w:pPr>
        <w:spacing w:line="360" w:lineRule="auto"/>
        <w:ind w:firstLine="480" w:firstLineChars="200"/>
        <w:rPr>
          <w:rFonts w:hint="default" w:ascii="Times New Roman" w:hAnsi="Times New Roman" w:cs="Times New Roman"/>
          <w:b w:val="0"/>
          <w:color w:val="auto"/>
          <w:sz w:val="24"/>
          <w:szCs w:val="24"/>
          <w:lang w:val="en-US" w:eastAsia="zh-CN"/>
        </w:rPr>
      </w:pPr>
      <w:r>
        <w:rPr>
          <w:rFonts w:hint="default" w:ascii="Times New Roman" w:hAnsi="Times New Roman" w:cs="Times New Roman"/>
          <w:b w:val="0"/>
          <w:color w:val="auto"/>
          <w:sz w:val="24"/>
          <w:szCs w:val="24"/>
          <w:lang w:val="en-US" w:eastAsia="zh-CN"/>
        </w:rPr>
        <w:t>《火力发电厂焊接技术规程》（DL/T</w:t>
      </w:r>
      <w:r>
        <w:rPr>
          <w:rFonts w:hint="eastAsia" w:cs="Times New Roman"/>
          <w:b w:val="0"/>
          <w:color w:val="auto"/>
          <w:sz w:val="24"/>
          <w:szCs w:val="24"/>
          <w:lang w:val="en-US" w:eastAsia="zh-CN"/>
        </w:rPr>
        <w:t xml:space="preserve"> </w:t>
      </w:r>
      <w:r>
        <w:rPr>
          <w:rFonts w:hint="default" w:ascii="Times New Roman" w:hAnsi="Times New Roman" w:cs="Times New Roman"/>
          <w:b w:val="0"/>
          <w:color w:val="auto"/>
          <w:sz w:val="24"/>
          <w:szCs w:val="24"/>
          <w:lang w:val="en-US" w:eastAsia="zh-CN"/>
        </w:rPr>
        <w:t>869-2018）</w:t>
      </w:r>
    </w:p>
    <w:p>
      <w:pPr>
        <w:spacing w:line="360" w:lineRule="auto"/>
        <w:ind w:firstLine="480" w:firstLineChars="200"/>
        <w:rPr>
          <w:rFonts w:hint="default" w:ascii="Times New Roman" w:hAnsi="Times New Roman" w:cs="Times New Roman"/>
          <w:b w:val="0"/>
          <w:color w:val="auto"/>
          <w:sz w:val="24"/>
          <w:szCs w:val="24"/>
          <w:lang w:val="en-US" w:eastAsia="zh-CN"/>
        </w:rPr>
      </w:pPr>
      <w:r>
        <w:rPr>
          <w:rFonts w:hint="default" w:ascii="Times New Roman" w:hAnsi="Times New Roman" w:cs="Times New Roman"/>
          <w:b w:val="0"/>
          <w:color w:val="auto"/>
          <w:sz w:val="24"/>
          <w:szCs w:val="24"/>
          <w:lang w:val="en-US" w:eastAsia="zh-CN"/>
        </w:rPr>
        <w:t>《钢结构加固设计标准》（GB</w:t>
      </w:r>
      <w:r>
        <w:rPr>
          <w:rFonts w:hint="eastAsia" w:cs="Times New Roman"/>
          <w:b w:val="0"/>
          <w:color w:val="auto"/>
          <w:sz w:val="24"/>
          <w:szCs w:val="24"/>
          <w:lang w:val="en-US" w:eastAsia="zh-CN"/>
        </w:rPr>
        <w:t xml:space="preserve"> </w:t>
      </w:r>
      <w:r>
        <w:rPr>
          <w:rFonts w:hint="default" w:ascii="Times New Roman" w:hAnsi="Times New Roman" w:cs="Times New Roman"/>
          <w:b w:val="0"/>
          <w:color w:val="auto"/>
          <w:sz w:val="24"/>
          <w:szCs w:val="24"/>
          <w:lang w:val="en-US" w:eastAsia="zh-CN"/>
        </w:rPr>
        <w:t>51367-2019）</w:t>
      </w:r>
    </w:p>
    <w:p>
      <w:pPr>
        <w:spacing w:line="360" w:lineRule="auto"/>
        <w:ind w:firstLine="480" w:firstLineChars="200"/>
        <w:rPr>
          <w:rFonts w:hint="default" w:ascii="Times New Roman" w:hAnsi="Times New Roman" w:cs="Times New Roman"/>
          <w:b w:val="0"/>
          <w:color w:val="auto"/>
          <w:sz w:val="24"/>
          <w:szCs w:val="24"/>
          <w:lang w:val="en-US" w:eastAsia="zh-CN"/>
        </w:rPr>
      </w:pPr>
      <w:r>
        <w:rPr>
          <w:rFonts w:hint="default" w:ascii="Times New Roman" w:hAnsi="Times New Roman" w:cs="Times New Roman"/>
          <w:b w:val="0"/>
          <w:color w:val="auto"/>
          <w:sz w:val="24"/>
          <w:szCs w:val="24"/>
          <w:lang w:val="en-US" w:eastAsia="zh-CN"/>
        </w:rPr>
        <w:t>《钢结构工程施工质量验收标准》（GB</w:t>
      </w:r>
      <w:r>
        <w:rPr>
          <w:rFonts w:hint="eastAsia" w:cs="Times New Roman"/>
          <w:b w:val="0"/>
          <w:color w:val="auto"/>
          <w:sz w:val="24"/>
          <w:szCs w:val="24"/>
          <w:lang w:val="en-US" w:eastAsia="zh-CN"/>
        </w:rPr>
        <w:t xml:space="preserve"> </w:t>
      </w:r>
      <w:r>
        <w:rPr>
          <w:rFonts w:hint="default" w:ascii="Times New Roman" w:hAnsi="Times New Roman" w:cs="Times New Roman"/>
          <w:b w:val="0"/>
          <w:color w:val="auto"/>
          <w:sz w:val="24"/>
          <w:szCs w:val="24"/>
          <w:lang w:val="en-US" w:eastAsia="zh-CN"/>
        </w:rPr>
        <w:t>50205-2020）</w:t>
      </w:r>
    </w:p>
    <w:p>
      <w:pPr>
        <w:spacing w:line="360" w:lineRule="auto"/>
        <w:ind w:firstLine="480" w:firstLineChars="200"/>
        <w:rPr>
          <w:rFonts w:hint="default" w:ascii="Times New Roman" w:hAnsi="Times New Roman" w:cs="Times New Roman"/>
          <w:b w:val="0"/>
          <w:color w:val="auto"/>
          <w:sz w:val="24"/>
          <w:szCs w:val="24"/>
          <w:lang w:val="en-US" w:eastAsia="zh-CN"/>
        </w:rPr>
      </w:pPr>
      <w:r>
        <w:rPr>
          <w:rFonts w:hint="default" w:ascii="Times New Roman" w:hAnsi="Times New Roman" w:cs="Times New Roman"/>
          <w:b w:val="0"/>
          <w:color w:val="auto"/>
          <w:sz w:val="24"/>
          <w:szCs w:val="24"/>
          <w:lang w:val="en-US" w:eastAsia="zh-CN"/>
        </w:rPr>
        <w:t>《钢结构焊接规范》（GB 50661-2011）</w:t>
      </w:r>
    </w:p>
    <w:p>
      <w:pPr>
        <w:spacing w:line="360" w:lineRule="auto"/>
        <w:ind w:firstLine="480" w:firstLineChars="200"/>
        <w:rPr>
          <w:rFonts w:hint="default" w:ascii="Times New Roman" w:hAnsi="Times New Roman" w:cs="Times New Roman"/>
          <w:b w:val="0"/>
          <w:color w:val="auto"/>
          <w:sz w:val="24"/>
          <w:szCs w:val="24"/>
          <w:lang w:val="en-US" w:eastAsia="zh-CN"/>
        </w:rPr>
      </w:pPr>
      <w:r>
        <w:rPr>
          <w:rFonts w:hint="default" w:ascii="Times New Roman" w:hAnsi="Times New Roman" w:cs="Times New Roman"/>
          <w:b w:val="0"/>
          <w:color w:val="auto"/>
          <w:sz w:val="24"/>
          <w:szCs w:val="24"/>
          <w:lang w:val="en-US" w:eastAsia="zh-CN"/>
        </w:rPr>
        <w:t>《电站钢结构焊接通用技术条件》（DL/T</w:t>
      </w:r>
      <w:r>
        <w:rPr>
          <w:rFonts w:hint="eastAsia" w:cs="Times New Roman"/>
          <w:b w:val="0"/>
          <w:color w:val="auto"/>
          <w:sz w:val="24"/>
          <w:szCs w:val="24"/>
          <w:lang w:val="en-US" w:eastAsia="zh-CN"/>
        </w:rPr>
        <w:t xml:space="preserve"> </w:t>
      </w:r>
      <w:r>
        <w:rPr>
          <w:rFonts w:hint="default" w:ascii="Times New Roman" w:hAnsi="Times New Roman" w:cs="Times New Roman"/>
          <w:b w:val="0"/>
          <w:color w:val="auto"/>
          <w:sz w:val="24"/>
          <w:szCs w:val="24"/>
          <w:lang w:val="en-US" w:eastAsia="zh-CN"/>
        </w:rPr>
        <w:t>678-2013）</w:t>
      </w:r>
    </w:p>
    <w:p>
      <w:pPr>
        <w:spacing w:line="360" w:lineRule="auto"/>
        <w:ind w:firstLine="480" w:firstLineChars="200"/>
        <w:rPr>
          <w:rFonts w:hint="default" w:ascii="Times New Roman" w:hAnsi="Times New Roman" w:cs="Times New Roman"/>
          <w:b w:val="0"/>
          <w:color w:val="auto"/>
          <w:sz w:val="24"/>
          <w:szCs w:val="24"/>
          <w:lang w:val="en-US" w:eastAsia="zh-CN"/>
        </w:rPr>
      </w:pPr>
      <w:r>
        <w:rPr>
          <w:rFonts w:hint="default" w:ascii="Times New Roman" w:hAnsi="Times New Roman" w:cs="Times New Roman"/>
          <w:b w:val="0"/>
          <w:color w:val="auto"/>
          <w:sz w:val="24"/>
          <w:szCs w:val="24"/>
          <w:lang w:val="en-US" w:eastAsia="zh-CN"/>
        </w:rPr>
        <w:t>《钢格栅板及配套件 第1部分：钢格栅板》（YB/T 4001.1-2019）</w:t>
      </w:r>
    </w:p>
    <w:p>
      <w:pPr>
        <w:spacing w:line="360" w:lineRule="auto"/>
        <w:ind w:firstLine="480" w:firstLineChars="200"/>
        <w:rPr>
          <w:rFonts w:hint="default" w:ascii="Times New Roman" w:hAnsi="Times New Roman" w:cs="Times New Roman"/>
          <w:b w:val="0"/>
          <w:color w:val="auto"/>
          <w:sz w:val="24"/>
          <w:szCs w:val="24"/>
          <w:lang w:val="en-US" w:eastAsia="zh-CN"/>
        </w:rPr>
      </w:pPr>
      <w:r>
        <w:rPr>
          <w:rFonts w:hint="default" w:ascii="Times New Roman" w:hAnsi="Times New Roman" w:cs="Times New Roman"/>
          <w:b w:val="0"/>
          <w:color w:val="auto"/>
          <w:sz w:val="24"/>
          <w:szCs w:val="24"/>
          <w:lang w:val="en-US" w:eastAsia="zh-CN"/>
        </w:rPr>
        <w:t>《钢格栅板及配套件 第2部分：钢格板平台球型护栏》（YB/T 4001.2-2020）</w:t>
      </w:r>
    </w:p>
    <w:p>
      <w:pPr>
        <w:spacing w:line="360" w:lineRule="auto"/>
        <w:ind w:firstLine="480" w:firstLineChars="200"/>
        <w:rPr>
          <w:rFonts w:hint="default" w:ascii="Times New Roman" w:hAnsi="Times New Roman" w:cs="Times New Roman"/>
          <w:b w:val="0"/>
          <w:color w:val="auto"/>
          <w:sz w:val="24"/>
          <w:szCs w:val="24"/>
          <w:lang w:val="en-US" w:eastAsia="zh-CN"/>
        </w:rPr>
      </w:pPr>
      <w:r>
        <w:rPr>
          <w:rFonts w:hint="default" w:ascii="Times New Roman" w:hAnsi="Times New Roman" w:cs="Times New Roman"/>
          <w:b w:val="0"/>
          <w:color w:val="auto"/>
          <w:sz w:val="24"/>
          <w:szCs w:val="24"/>
          <w:lang w:val="en-US" w:eastAsia="zh-CN"/>
        </w:rPr>
        <w:t>《钢格栅板及配套件 第3部分：钢格板楼梯踏板》（YB/T 4001.3-2020）</w:t>
      </w:r>
    </w:p>
    <w:p>
      <w:pPr>
        <w:spacing w:line="360" w:lineRule="auto"/>
        <w:ind w:firstLine="480" w:firstLineChars="200"/>
        <w:rPr>
          <w:rFonts w:hint="default" w:ascii="Times New Roman" w:hAnsi="Times New Roman" w:cs="Times New Roman"/>
          <w:b w:val="0"/>
          <w:color w:val="auto"/>
          <w:sz w:val="24"/>
          <w:szCs w:val="24"/>
          <w:lang w:eastAsia="zh-CN"/>
        </w:rPr>
      </w:pPr>
      <w:r>
        <w:rPr>
          <w:rFonts w:hint="default" w:ascii="Times New Roman" w:hAnsi="Times New Roman" w:cs="Times New Roman"/>
          <w:b w:val="0"/>
          <w:color w:val="auto"/>
          <w:sz w:val="24"/>
          <w:szCs w:val="24"/>
          <w:lang w:eastAsia="zh-CN"/>
        </w:rPr>
        <w:t>《火电厂烟气脱硫工程施工质量验收及评定规程》（DL/T</w:t>
      </w:r>
      <w:r>
        <w:rPr>
          <w:rFonts w:hint="default" w:ascii="Times New Roman" w:hAnsi="Times New Roman" w:cs="Times New Roman"/>
          <w:b w:val="0"/>
          <w:color w:val="auto"/>
          <w:sz w:val="24"/>
          <w:szCs w:val="24"/>
          <w:lang w:val="en-US" w:eastAsia="zh-CN"/>
        </w:rPr>
        <w:t xml:space="preserve"> </w:t>
      </w:r>
      <w:r>
        <w:rPr>
          <w:rFonts w:hint="default" w:ascii="Times New Roman" w:hAnsi="Times New Roman" w:cs="Times New Roman"/>
          <w:b w:val="0"/>
          <w:color w:val="auto"/>
          <w:sz w:val="24"/>
          <w:szCs w:val="24"/>
          <w:lang w:eastAsia="zh-CN"/>
        </w:rPr>
        <w:t>5417-2009）</w:t>
      </w:r>
    </w:p>
    <w:p>
      <w:pPr>
        <w:keepNext/>
        <w:keepLines w:val="0"/>
        <w:pageBreakBefore w:val="0"/>
        <w:widowControl w:val="0"/>
        <w:numPr>
          <w:ilvl w:val="2"/>
          <w:numId w:val="3"/>
        </w:numPr>
        <w:tabs>
          <w:tab w:val="left" w:pos="420"/>
          <w:tab w:val="clear" w:pos="1021"/>
        </w:tabs>
        <w:kinsoku/>
        <w:wordWrap/>
        <w:overflowPunct/>
        <w:topLinePunct w:val="0"/>
        <w:autoSpaceDE/>
        <w:autoSpaceDN/>
        <w:bidi w:val="0"/>
        <w:adjustRightInd w:val="0"/>
        <w:snapToGrid/>
        <w:spacing w:before="157" w:beforeLines="50" w:after="157" w:afterLines="50" w:line="360" w:lineRule="auto"/>
        <w:ind w:left="0" w:firstLine="0"/>
        <w:jc w:val="left"/>
        <w:textAlignment w:val="baseline"/>
        <w:outlineLvl w:val="2"/>
        <w:rPr>
          <w:rFonts w:hint="default" w:ascii="Times New Roman" w:hAnsi="Times New Roman" w:eastAsia="黑体" w:cs="Times New Roman"/>
          <w:color w:val="000000"/>
          <w:spacing w:val="0"/>
          <w:kern w:val="2"/>
          <w:sz w:val="24"/>
          <w:szCs w:val="24"/>
          <w:lang w:val="en-US" w:eastAsia="zh-CN" w:bidi="ar-SA"/>
        </w:rPr>
      </w:pPr>
      <w:bookmarkStart w:id="20" w:name="_Toc28415_WPSOffice_Level1"/>
      <w:bookmarkStart w:id="21" w:name="_Toc473050774"/>
      <w:bookmarkStart w:id="22" w:name="_Toc473050569"/>
      <w:bookmarkStart w:id="23" w:name="_Toc473051158"/>
      <w:r>
        <w:rPr>
          <w:rFonts w:hint="default" w:ascii="Times New Roman" w:hAnsi="Times New Roman" w:eastAsia="黑体" w:cs="Times New Roman"/>
          <w:color w:val="000000"/>
          <w:spacing w:val="0"/>
          <w:kern w:val="2"/>
          <w:sz w:val="24"/>
          <w:szCs w:val="24"/>
          <w:lang w:val="en-US" w:eastAsia="zh-CN" w:bidi="ar-SA"/>
        </w:rPr>
        <w:t>投标方施工的范围及内容</w:t>
      </w:r>
      <w:bookmarkEnd w:id="20"/>
      <w:bookmarkEnd w:id="21"/>
      <w:bookmarkEnd w:id="22"/>
      <w:bookmarkEnd w:id="23"/>
    </w:p>
    <w:p>
      <w:pPr>
        <w:spacing w:line="360" w:lineRule="auto"/>
        <w:ind w:firstLine="480" w:firstLineChars="200"/>
        <w:rPr>
          <w:rFonts w:hint="eastAsia" w:cs="Times New Roman"/>
          <w:b w:val="0"/>
          <w:color w:val="000000"/>
          <w:spacing w:val="0"/>
          <w:sz w:val="24"/>
          <w:szCs w:val="24"/>
          <w:lang w:val="en-US" w:eastAsia="zh-CN" w:bidi="ar-SA"/>
        </w:rPr>
      </w:pPr>
      <w:r>
        <w:rPr>
          <w:rFonts w:hint="eastAsia" w:cs="Times New Roman"/>
          <w:b w:val="0"/>
          <w:color w:val="auto"/>
          <w:sz w:val="24"/>
          <w:szCs w:val="24"/>
          <w:lang w:val="en-US" w:eastAsia="zh-CN"/>
        </w:rPr>
        <w:t>脱硫系统</w:t>
      </w:r>
      <w:r>
        <w:rPr>
          <w:rFonts w:hint="default" w:ascii="Times New Roman" w:hAnsi="Times New Roman" w:eastAsia="宋体" w:cs="Times New Roman"/>
          <w:b w:val="0"/>
          <w:color w:val="000000"/>
          <w:spacing w:val="0"/>
          <w:sz w:val="24"/>
          <w:szCs w:val="24"/>
          <w:lang w:val="en-US" w:eastAsia="zh-CN" w:bidi="ar-SA"/>
        </w:rPr>
        <w:t>脱硫系统</w:t>
      </w:r>
      <w:r>
        <w:rPr>
          <w:rFonts w:hint="eastAsia" w:cs="Times New Roman"/>
          <w:b w:val="0"/>
          <w:color w:val="000000"/>
          <w:spacing w:val="0"/>
          <w:sz w:val="24"/>
          <w:szCs w:val="24"/>
          <w:lang w:val="en-US" w:eastAsia="zh-CN" w:bidi="ar-SA"/>
        </w:rPr>
        <w:t>钢制</w:t>
      </w:r>
      <w:r>
        <w:rPr>
          <w:rFonts w:hint="default" w:ascii="Times New Roman" w:hAnsi="Times New Roman" w:eastAsia="宋体" w:cs="Times New Roman"/>
          <w:b w:val="0"/>
          <w:color w:val="000000"/>
          <w:spacing w:val="0"/>
          <w:sz w:val="24"/>
          <w:szCs w:val="24"/>
          <w:lang w:val="en-US" w:eastAsia="zh-CN" w:bidi="ar-SA"/>
        </w:rPr>
        <w:t>安全防护栏杆</w:t>
      </w:r>
      <w:r>
        <w:rPr>
          <w:rFonts w:hint="eastAsia" w:cs="Times New Roman"/>
          <w:b w:val="0"/>
          <w:color w:val="000000"/>
          <w:spacing w:val="0"/>
          <w:sz w:val="24"/>
          <w:szCs w:val="24"/>
          <w:lang w:val="en-US" w:eastAsia="zh-CN" w:bidi="ar-SA"/>
        </w:rPr>
        <w:t>、</w:t>
      </w:r>
      <w:r>
        <w:rPr>
          <w:rFonts w:hint="default" w:ascii="Times New Roman" w:hAnsi="Times New Roman" w:eastAsia="宋体" w:cs="Times New Roman"/>
          <w:b w:val="0"/>
          <w:color w:val="000000"/>
          <w:spacing w:val="0"/>
          <w:sz w:val="24"/>
          <w:szCs w:val="24"/>
          <w:lang w:val="en-US" w:eastAsia="zh-CN" w:bidi="ar-SA"/>
        </w:rPr>
        <w:t>平台</w:t>
      </w:r>
      <w:r>
        <w:rPr>
          <w:rFonts w:hint="eastAsia" w:cs="Times New Roman"/>
          <w:b w:val="0"/>
          <w:color w:val="000000"/>
          <w:spacing w:val="0"/>
          <w:sz w:val="24"/>
          <w:szCs w:val="24"/>
          <w:lang w:val="en-US" w:eastAsia="zh-CN" w:bidi="ar-SA"/>
        </w:rPr>
        <w:t>及斜梯（直梯）</w:t>
      </w:r>
      <w:r>
        <w:rPr>
          <w:rFonts w:hint="default" w:ascii="Times New Roman" w:hAnsi="Times New Roman" w:eastAsia="宋体" w:cs="Times New Roman"/>
          <w:b w:val="0"/>
          <w:color w:val="000000"/>
          <w:spacing w:val="0"/>
          <w:sz w:val="24"/>
          <w:szCs w:val="24"/>
          <w:lang w:val="en-US" w:eastAsia="zh-CN" w:bidi="ar-SA"/>
        </w:rPr>
        <w:t>等设施治理施工</w:t>
      </w:r>
      <w:r>
        <w:rPr>
          <w:rFonts w:hint="eastAsia" w:cs="Times New Roman"/>
          <w:b w:val="0"/>
          <w:color w:val="000000"/>
          <w:spacing w:val="0"/>
          <w:sz w:val="24"/>
          <w:szCs w:val="24"/>
          <w:lang w:val="en-US" w:eastAsia="zh-CN" w:bidi="ar-SA"/>
        </w:rPr>
        <w:t>内容详见表4-1。</w:t>
      </w:r>
    </w:p>
    <w:p>
      <w:pPr>
        <w:pStyle w:val="19"/>
        <w:ind w:left="0" w:leftChars="0" w:firstLine="0" w:firstLineChars="0"/>
        <w:jc w:val="center"/>
        <w:rPr>
          <w:rFonts w:hint="eastAsia" w:asciiTheme="minorEastAsia" w:hAnsiTheme="minorEastAsia" w:eastAsiaTheme="minorEastAsia" w:cstheme="minorEastAsia"/>
          <w:b w:val="0"/>
          <w:color w:val="000000"/>
          <w:spacing w:val="0"/>
          <w:sz w:val="21"/>
          <w:szCs w:val="21"/>
          <w:lang w:val="en-US" w:eastAsia="zh-CN" w:bidi="ar-SA"/>
        </w:rPr>
      </w:pPr>
      <w:r>
        <w:rPr>
          <w:rFonts w:hint="eastAsia" w:asciiTheme="minorEastAsia" w:hAnsiTheme="minorEastAsia" w:eastAsiaTheme="minorEastAsia" w:cstheme="minorEastAsia"/>
          <w:b w:val="0"/>
          <w:color w:val="000000"/>
          <w:spacing w:val="0"/>
          <w:sz w:val="21"/>
          <w:szCs w:val="21"/>
          <w:lang w:val="en-US" w:eastAsia="zh-CN" w:bidi="ar-SA"/>
        </w:rPr>
        <w:t xml:space="preserve">表4-1  </w:t>
      </w:r>
      <w:r>
        <w:rPr>
          <w:rFonts w:hint="eastAsia" w:asciiTheme="minorEastAsia" w:hAnsiTheme="minorEastAsia" w:eastAsiaTheme="minorEastAsia" w:cstheme="minorEastAsia"/>
          <w:b w:val="0"/>
          <w:color w:val="auto"/>
          <w:sz w:val="21"/>
          <w:szCs w:val="21"/>
          <w:lang w:val="en-US" w:eastAsia="zh-CN"/>
        </w:rPr>
        <w:t>脱硫系统</w:t>
      </w:r>
      <w:r>
        <w:rPr>
          <w:rFonts w:hint="eastAsia" w:asciiTheme="minorEastAsia" w:hAnsiTheme="minorEastAsia" w:eastAsiaTheme="minorEastAsia" w:cstheme="minorEastAsia"/>
          <w:b w:val="0"/>
          <w:color w:val="000000"/>
          <w:spacing w:val="0"/>
          <w:sz w:val="21"/>
          <w:szCs w:val="21"/>
          <w:lang w:val="en-US" w:eastAsia="zh-CN" w:bidi="ar-SA"/>
        </w:rPr>
        <w:t>脱硫系统钢制安全防护栏杆、平台及斜梯（直梯）等设施治理施工内容</w:t>
      </w:r>
    </w:p>
    <w:tbl>
      <w:tblPr>
        <w:tblStyle w:val="13"/>
        <w:tblW w:w="8119"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0" w:type="dxa"/>
          <w:bottom w:w="0" w:type="dxa"/>
          <w:right w:w="0" w:type="dxa"/>
        </w:tblCellMar>
      </w:tblPr>
      <w:tblGrid>
        <w:gridCol w:w="489"/>
        <w:gridCol w:w="1177"/>
        <w:gridCol w:w="2277"/>
        <w:gridCol w:w="2388"/>
        <w:gridCol w:w="1788"/>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65"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序号</w:t>
            </w:r>
          </w:p>
        </w:tc>
        <w:tc>
          <w:tcPr>
            <w:tcW w:w="345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具体区域</w:t>
            </w:r>
          </w:p>
        </w:tc>
        <w:tc>
          <w:tcPr>
            <w:tcW w:w="23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钢制热侵镀锌格栅板、踏步板         （除特殊说明外）</w:t>
            </w: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center"/>
              <w:textAlignment w:val="center"/>
              <w:rPr>
                <w:rFonts w:hint="eastAsia" w:ascii="宋体" w:hAnsi="宋体" w:eastAsia="宋体" w:cs="宋体"/>
                <w:i w:val="0"/>
                <w:color w:val="000000"/>
                <w:kern w:val="0"/>
                <w:sz w:val="18"/>
                <w:szCs w:val="18"/>
                <w:u w:val="none"/>
                <w:lang w:val="en-US" w:eastAsia="zh-CN" w:bidi="ar"/>
              </w:rPr>
            </w:pPr>
            <w:r>
              <w:rPr>
                <w:rFonts w:hint="eastAsia" w:ascii="宋体" w:hAnsi="宋体" w:eastAsia="宋体" w:cs="宋体"/>
                <w:i w:val="0"/>
                <w:color w:val="000000"/>
                <w:kern w:val="0"/>
                <w:sz w:val="18"/>
                <w:szCs w:val="18"/>
                <w:u w:val="none"/>
                <w:lang w:val="en-US" w:eastAsia="zh-CN" w:bidi="ar"/>
              </w:rPr>
              <w:t>栏杆、扁钢、槽钢</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1043"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p>
        </w:tc>
        <w:tc>
          <w:tcPr>
            <w:tcW w:w="117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r>
              <w:rPr>
                <w:rFonts w:hint="eastAsia" w:ascii="宋体" w:hAnsi="宋体" w:cs="宋体"/>
                <w:i w:val="0"/>
                <w:color w:val="000000"/>
                <w:kern w:val="0"/>
                <w:sz w:val="18"/>
                <w:szCs w:val="18"/>
                <w:u w:val="none"/>
                <w:lang w:val="en-US" w:eastAsia="zh-CN" w:bidi="ar"/>
              </w:rPr>
              <w:t>机组</w:t>
            </w:r>
            <w:r>
              <w:rPr>
                <w:rFonts w:hint="eastAsia" w:ascii="宋体" w:hAnsi="宋体" w:eastAsia="宋体" w:cs="宋体"/>
                <w:i w:val="0"/>
                <w:color w:val="000000"/>
                <w:kern w:val="0"/>
                <w:sz w:val="18"/>
                <w:szCs w:val="18"/>
                <w:u w:val="none"/>
                <w:lang w:val="en-US" w:eastAsia="zh-CN" w:bidi="ar"/>
              </w:rPr>
              <w:t>脱硫吸收塔</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给浆操作平台</w:t>
            </w:r>
            <w:r>
              <w:rPr>
                <w:rFonts w:hint="eastAsia" w:ascii="宋体" w:hAnsi="宋体" w:cs="宋体"/>
                <w:i w:val="0"/>
                <w:color w:val="000000"/>
                <w:kern w:val="0"/>
                <w:sz w:val="18"/>
                <w:szCs w:val="18"/>
                <w:u w:val="none"/>
                <w:lang w:val="en-US" w:eastAsia="zh-CN" w:bidi="ar"/>
              </w:rPr>
              <w:t>（含）</w:t>
            </w:r>
            <w:r>
              <w:rPr>
                <w:rFonts w:hint="eastAsia" w:ascii="宋体" w:hAnsi="宋体" w:eastAsia="宋体" w:cs="宋体"/>
                <w:i w:val="0"/>
                <w:color w:val="000000"/>
                <w:kern w:val="0"/>
                <w:sz w:val="18"/>
                <w:szCs w:val="18"/>
                <w:u w:val="none"/>
                <w:lang w:val="en-US" w:eastAsia="zh-CN" w:bidi="ar"/>
              </w:rPr>
              <w:t>至吸收塔标高40.5m扶梯平台</w:t>
            </w:r>
          </w:p>
        </w:tc>
        <w:tc>
          <w:tcPr>
            <w:tcW w:w="23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需更换钢格栅板25㎡</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踏步板280*800mm 15块</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200*800mm 40块</w:t>
            </w:r>
          </w:p>
        </w:tc>
        <w:tc>
          <w:tcPr>
            <w:tcW w:w="17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需更换φ32栏杆50m</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φ25栏杆60m</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#10踢脚板</w:t>
            </w:r>
            <w:r>
              <w:rPr>
                <w:rFonts w:hint="eastAsia" w:ascii="宋体" w:hAnsi="宋体" w:cs="宋体"/>
                <w:i w:val="0"/>
                <w:color w:val="000000"/>
                <w:kern w:val="0"/>
                <w:sz w:val="18"/>
                <w:szCs w:val="18"/>
                <w:u w:val="none"/>
                <w:lang w:val="en-US" w:eastAsia="zh-CN" w:bidi="ar"/>
              </w:rPr>
              <w:t>15</w:t>
            </w:r>
            <w:r>
              <w:rPr>
                <w:rFonts w:hint="eastAsia" w:ascii="宋体" w:hAnsi="宋体" w:eastAsia="宋体" w:cs="宋体"/>
                <w:i w:val="0"/>
                <w:color w:val="000000"/>
                <w:kern w:val="0"/>
                <w:sz w:val="18"/>
                <w:szCs w:val="18"/>
                <w:u w:val="none"/>
                <w:lang w:val="en-US" w:eastAsia="zh-CN" w:bidi="ar"/>
              </w:rPr>
              <w:t>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941"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p>
        </w:tc>
        <w:tc>
          <w:tcPr>
            <w:tcW w:w="117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18"/>
                <w:szCs w:val="18"/>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Z字扶梯至给浆平台天桥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标高16.6m平台</w:t>
            </w:r>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需更换钢格栅板2.8㎡</w:t>
            </w:r>
          </w:p>
        </w:tc>
        <w:tc>
          <w:tcPr>
            <w:tcW w:w="17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需更换#16槽钢8m</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φ32栏杆15m</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φ25栏杆20m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23"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w:t>
            </w:r>
          </w:p>
        </w:tc>
        <w:tc>
          <w:tcPr>
            <w:tcW w:w="117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18"/>
                <w:szCs w:val="18"/>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Z字扶梯至托盘层人孔天桥</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标高19.5m平台</w:t>
            </w:r>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需更换钢格栅板2.8㎡</w:t>
            </w:r>
          </w:p>
        </w:tc>
        <w:tc>
          <w:tcPr>
            <w:tcW w:w="17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需更换#16槽钢8m</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φ32栏杆15m</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φ25栏杆20m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09"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4</w:t>
            </w:r>
          </w:p>
        </w:tc>
        <w:tc>
          <w:tcPr>
            <w:tcW w:w="117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18"/>
                <w:szCs w:val="18"/>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靠锅炉侧GGH平台至一级塔</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氧化风支管冲洗水平台天桥</w:t>
            </w:r>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需更换钢格栅板3.6㎡</w:t>
            </w:r>
          </w:p>
        </w:tc>
        <w:tc>
          <w:tcPr>
            <w:tcW w:w="17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需更换#16槽钢15m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40"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5</w:t>
            </w:r>
          </w:p>
        </w:tc>
        <w:tc>
          <w:tcPr>
            <w:tcW w:w="117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18"/>
                <w:szCs w:val="18"/>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氧化风支管冲洗水平台</w:t>
            </w:r>
          </w:p>
        </w:tc>
        <w:tc>
          <w:tcPr>
            <w:tcW w:w="23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需更换钢格栅板8㎡</w:t>
            </w:r>
          </w:p>
        </w:tc>
        <w:tc>
          <w:tcPr>
            <w:tcW w:w="17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需更换#10槽钢10m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74"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6</w:t>
            </w: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r>
              <w:rPr>
                <w:rFonts w:hint="eastAsia" w:ascii="宋体" w:hAnsi="宋体" w:cs="宋体"/>
                <w:i w:val="0"/>
                <w:color w:val="000000"/>
                <w:kern w:val="0"/>
                <w:sz w:val="18"/>
                <w:szCs w:val="18"/>
                <w:u w:val="none"/>
                <w:lang w:val="en-US" w:eastAsia="zh-CN" w:bidi="ar"/>
              </w:rPr>
              <w:t>机组</w:t>
            </w:r>
            <w:r>
              <w:rPr>
                <w:rFonts w:hint="eastAsia" w:ascii="宋体" w:hAnsi="宋体" w:eastAsia="宋体" w:cs="宋体"/>
                <w:i w:val="0"/>
                <w:color w:val="000000"/>
                <w:kern w:val="0"/>
                <w:sz w:val="18"/>
                <w:szCs w:val="18"/>
                <w:u w:val="none"/>
                <w:lang w:val="en-US" w:eastAsia="zh-CN" w:bidi="ar"/>
              </w:rPr>
              <w:t>脱硫原烟道</w:t>
            </w:r>
          </w:p>
        </w:tc>
        <w:tc>
          <w:tcPr>
            <w:tcW w:w="227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A、B侧13.2m至23.3m扶梯平台</w:t>
            </w:r>
          </w:p>
        </w:tc>
        <w:tc>
          <w:tcPr>
            <w:tcW w:w="23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需更换钢格栅板1</w:t>
            </w:r>
            <w:r>
              <w:rPr>
                <w:rFonts w:hint="eastAsia" w:ascii="宋体" w:hAnsi="宋体" w:cs="宋体"/>
                <w:i w:val="0"/>
                <w:color w:val="000000"/>
                <w:kern w:val="0"/>
                <w:sz w:val="18"/>
                <w:szCs w:val="18"/>
                <w:u w:val="none"/>
                <w:lang w:val="en-US" w:eastAsia="zh-CN" w:bidi="ar"/>
              </w:rPr>
              <w:t>0</w:t>
            </w: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踏步板200*800mm 2</w:t>
            </w:r>
            <w:r>
              <w:rPr>
                <w:rFonts w:hint="eastAsia" w:ascii="宋体" w:hAnsi="宋体" w:cs="宋体"/>
                <w:i w:val="0"/>
                <w:color w:val="000000"/>
                <w:kern w:val="0"/>
                <w:sz w:val="18"/>
                <w:szCs w:val="18"/>
                <w:u w:val="none"/>
                <w:lang w:val="en-US" w:eastAsia="zh-CN" w:bidi="ar"/>
              </w:rPr>
              <w:t>0</w:t>
            </w:r>
            <w:r>
              <w:rPr>
                <w:rFonts w:hint="eastAsia" w:ascii="宋体" w:hAnsi="宋体" w:eastAsia="宋体" w:cs="宋体"/>
                <w:i w:val="0"/>
                <w:color w:val="000000"/>
                <w:kern w:val="0"/>
                <w:sz w:val="18"/>
                <w:szCs w:val="18"/>
                <w:u w:val="none"/>
                <w:lang w:val="en-US" w:eastAsia="zh-CN" w:bidi="ar"/>
              </w:rPr>
              <w:t>块</w:t>
            </w:r>
          </w:p>
        </w:tc>
        <w:tc>
          <w:tcPr>
            <w:tcW w:w="17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需更换φ32栏杆20m</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φ25栏杆</w:t>
            </w:r>
            <w:r>
              <w:rPr>
                <w:rFonts w:hint="eastAsia" w:ascii="宋体" w:hAnsi="宋体" w:cs="宋体"/>
                <w:i w:val="0"/>
                <w:color w:val="000000"/>
                <w:kern w:val="0"/>
                <w:sz w:val="18"/>
                <w:szCs w:val="18"/>
                <w:u w:val="none"/>
                <w:lang w:val="en-US" w:eastAsia="zh-CN" w:bidi="ar"/>
              </w:rPr>
              <w:t>40</w:t>
            </w:r>
            <w:r>
              <w:rPr>
                <w:rFonts w:hint="eastAsia" w:ascii="宋体" w:hAnsi="宋体" w:eastAsia="宋体" w:cs="宋体"/>
                <w:i w:val="0"/>
                <w:color w:val="000000"/>
                <w:kern w:val="0"/>
                <w:sz w:val="18"/>
                <w:szCs w:val="18"/>
                <w:u w:val="none"/>
                <w:lang w:val="en-US" w:eastAsia="zh-CN" w:bidi="ar"/>
              </w:rPr>
              <w:t>m</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#10踢脚板</w:t>
            </w:r>
            <w:r>
              <w:rPr>
                <w:rFonts w:hint="eastAsia" w:ascii="宋体" w:hAnsi="宋体" w:cs="宋体"/>
                <w:i w:val="0"/>
                <w:color w:val="000000"/>
                <w:kern w:val="0"/>
                <w:sz w:val="18"/>
                <w:szCs w:val="18"/>
                <w:u w:val="none"/>
                <w:lang w:val="en-US" w:eastAsia="zh-CN" w:bidi="ar"/>
              </w:rPr>
              <w:t>5</w:t>
            </w:r>
            <w:r>
              <w:rPr>
                <w:rFonts w:hint="eastAsia" w:ascii="宋体" w:hAnsi="宋体" w:eastAsia="宋体" w:cs="宋体"/>
                <w:i w:val="0"/>
                <w:color w:val="000000"/>
                <w:kern w:val="0"/>
                <w:sz w:val="18"/>
                <w:szCs w:val="18"/>
                <w:u w:val="none"/>
                <w:lang w:val="en-US" w:eastAsia="zh-CN" w:bidi="ar"/>
              </w:rPr>
              <w:t>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58"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7</w:t>
            </w:r>
          </w:p>
        </w:tc>
        <w:tc>
          <w:tcPr>
            <w:tcW w:w="117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r>
              <w:rPr>
                <w:rFonts w:hint="eastAsia" w:ascii="宋体" w:hAnsi="宋体" w:cs="宋体"/>
                <w:i w:val="0"/>
                <w:color w:val="000000"/>
                <w:kern w:val="0"/>
                <w:sz w:val="18"/>
                <w:szCs w:val="18"/>
                <w:u w:val="none"/>
                <w:lang w:val="en-US" w:eastAsia="zh-CN" w:bidi="ar"/>
              </w:rPr>
              <w:t>机组</w:t>
            </w:r>
            <w:r>
              <w:rPr>
                <w:rFonts w:hint="eastAsia" w:ascii="宋体" w:hAnsi="宋体" w:eastAsia="宋体" w:cs="宋体"/>
                <w:i w:val="0"/>
                <w:color w:val="000000"/>
                <w:kern w:val="0"/>
                <w:sz w:val="18"/>
                <w:szCs w:val="18"/>
                <w:u w:val="none"/>
                <w:lang w:val="en-US" w:eastAsia="zh-CN" w:bidi="ar"/>
              </w:rPr>
              <w:t>脱硫净烟道</w:t>
            </w:r>
          </w:p>
        </w:tc>
        <w:tc>
          <w:tcPr>
            <w:tcW w:w="2277"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A、B侧13.2m至23.3m扶梯平台</w:t>
            </w:r>
          </w:p>
        </w:tc>
        <w:tc>
          <w:tcPr>
            <w:tcW w:w="23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需更换钢格栅板</w:t>
            </w:r>
            <w:r>
              <w:rPr>
                <w:rFonts w:hint="eastAsia" w:ascii="宋体" w:hAnsi="宋体" w:cs="宋体"/>
                <w:i w:val="0"/>
                <w:color w:val="000000"/>
                <w:kern w:val="0"/>
                <w:sz w:val="18"/>
                <w:szCs w:val="18"/>
                <w:u w:val="none"/>
                <w:lang w:val="en-US" w:eastAsia="zh-CN" w:bidi="ar"/>
              </w:rPr>
              <w:t>2</w:t>
            </w: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踏步板200*800mm </w:t>
            </w:r>
            <w:r>
              <w:rPr>
                <w:rFonts w:hint="eastAsia" w:ascii="宋体" w:hAnsi="宋体" w:cs="宋体"/>
                <w:i w:val="0"/>
                <w:color w:val="000000"/>
                <w:kern w:val="0"/>
                <w:sz w:val="18"/>
                <w:szCs w:val="18"/>
                <w:u w:val="none"/>
                <w:lang w:val="en-US" w:eastAsia="zh-CN" w:bidi="ar"/>
              </w:rPr>
              <w:t>5</w:t>
            </w:r>
            <w:r>
              <w:rPr>
                <w:rFonts w:hint="eastAsia" w:ascii="宋体" w:hAnsi="宋体" w:eastAsia="宋体" w:cs="宋体"/>
                <w:i w:val="0"/>
                <w:color w:val="000000"/>
                <w:kern w:val="0"/>
                <w:sz w:val="18"/>
                <w:szCs w:val="18"/>
                <w:u w:val="none"/>
                <w:lang w:val="en-US" w:eastAsia="zh-CN" w:bidi="ar"/>
              </w:rPr>
              <w:t>块</w:t>
            </w:r>
          </w:p>
        </w:tc>
        <w:tc>
          <w:tcPr>
            <w:tcW w:w="17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需更换φ32栏杆</w:t>
            </w:r>
            <w:r>
              <w:rPr>
                <w:rFonts w:hint="eastAsia" w:ascii="宋体" w:hAnsi="宋体" w:cs="宋体"/>
                <w:i w:val="0"/>
                <w:color w:val="000000"/>
                <w:kern w:val="0"/>
                <w:sz w:val="18"/>
                <w:szCs w:val="18"/>
                <w:u w:val="none"/>
                <w:lang w:val="en-US" w:eastAsia="zh-CN" w:bidi="ar"/>
              </w:rPr>
              <w:t>20</w:t>
            </w:r>
            <w:r>
              <w:rPr>
                <w:rFonts w:hint="eastAsia" w:ascii="宋体" w:hAnsi="宋体" w:eastAsia="宋体" w:cs="宋体"/>
                <w:i w:val="0"/>
                <w:color w:val="000000"/>
                <w:kern w:val="0"/>
                <w:sz w:val="18"/>
                <w:szCs w:val="18"/>
                <w:u w:val="none"/>
                <w:lang w:val="en-US" w:eastAsia="zh-CN" w:bidi="ar"/>
              </w:rPr>
              <w:t>m</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φ25栏杆40m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882"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8</w:t>
            </w:r>
          </w:p>
        </w:tc>
        <w:tc>
          <w:tcPr>
            <w:tcW w:w="1177" w:type="dxa"/>
            <w:vMerge w:val="restart"/>
            <w:tcBorders>
              <w:top w:val="single" w:color="000000" w:sz="4" w:space="0"/>
              <w:left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r>
              <w:rPr>
                <w:rFonts w:hint="eastAsia" w:ascii="宋体" w:hAnsi="宋体" w:cs="宋体"/>
                <w:i w:val="0"/>
                <w:color w:val="000000"/>
                <w:kern w:val="0"/>
                <w:sz w:val="18"/>
                <w:szCs w:val="18"/>
                <w:u w:val="none"/>
                <w:lang w:val="en-US" w:eastAsia="zh-CN" w:bidi="ar"/>
              </w:rPr>
              <w:t>2机组</w:t>
            </w:r>
            <w:r>
              <w:rPr>
                <w:rFonts w:hint="eastAsia" w:ascii="宋体" w:hAnsi="宋体" w:eastAsia="宋体" w:cs="宋体"/>
                <w:i w:val="0"/>
                <w:color w:val="000000"/>
                <w:kern w:val="0"/>
                <w:sz w:val="18"/>
                <w:szCs w:val="18"/>
                <w:u w:val="none"/>
                <w:lang w:val="en-US" w:eastAsia="zh-CN" w:bidi="ar"/>
              </w:rPr>
              <w:t>脱硫吸收塔</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靠锅炉侧GGH平台至一级塔</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氧化风支管冲洗水平台天桥</w:t>
            </w:r>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需更换钢格栅板3.6㎡</w:t>
            </w:r>
          </w:p>
        </w:tc>
        <w:tc>
          <w:tcPr>
            <w:tcW w:w="17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lang w:val="en-US" w:eastAsia="zh-CN"/>
              </w:rPr>
            </w:pPr>
            <w:r>
              <w:rPr>
                <w:rFonts w:hint="eastAsia" w:ascii="宋体" w:hAnsi="宋体" w:cs="宋体"/>
                <w:i w:val="0"/>
                <w:color w:val="000000"/>
                <w:kern w:val="0"/>
                <w:sz w:val="18"/>
                <w:szCs w:val="18"/>
                <w:u w:val="none"/>
                <w:lang w:val="en-US" w:eastAsia="zh-CN" w:bidi="ar"/>
              </w:rPr>
              <w:t>需更换#16槽钢15m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64" w:hRule="atLeast"/>
          <w:jc w:val="center"/>
        </w:trPr>
        <w:tc>
          <w:tcPr>
            <w:tcW w:w="489" w:type="dxa"/>
            <w:tcBorders>
              <w:top w:val="single" w:color="000000" w:sz="4" w:space="0"/>
              <w:left w:val="single" w:color="000000" w:sz="4" w:space="0"/>
              <w:bottom w:val="nil"/>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9</w:t>
            </w:r>
          </w:p>
        </w:tc>
        <w:tc>
          <w:tcPr>
            <w:tcW w:w="1177" w:type="dxa"/>
            <w:vMerge w:val="continue"/>
            <w:tcBorders>
              <w:top w:val="single" w:color="000000" w:sz="4" w:space="0"/>
              <w:left w:val="single" w:color="000000" w:sz="4" w:space="0"/>
              <w:bottom w:val="nil"/>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18"/>
                <w:szCs w:val="18"/>
                <w:u w:val="none"/>
              </w:rPr>
            </w:pPr>
          </w:p>
        </w:tc>
        <w:tc>
          <w:tcPr>
            <w:tcW w:w="2277"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氧化风支管冲洗水平台</w:t>
            </w:r>
          </w:p>
        </w:tc>
        <w:tc>
          <w:tcPr>
            <w:tcW w:w="2388"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需更换钢格栅板</w:t>
            </w:r>
            <w:r>
              <w:rPr>
                <w:rFonts w:hint="eastAsia" w:ascii="宋体" w:hAnsi="宋体" w:cs="宋体"/>
                <w:i w:val="0"/>
                <w:color w:val="000000"/>
                <w:kern w:val="0"/>
                <w:sz w:val="18"/>
                <w:szCs w:val="18"/>
                <w:u w:val="none"/>
                <w:lang w:val="en-US" w:eastAsia="zh-CN" w:bidi="ar"/>
              </w:rPr>
              <w:t>4</w:t>
            </w:r>
            <w:r>
              <w:rPr>
                <w:rFonts w:hint="eastAsia" w:ascii="宋体" w:hAnsi="宋体" w:eastAsia="宋体" w:cs="宋体"/>
                <w:i w:val="0"/>
                <w:color w:val="000000"/>
                <w:kern w:val="0"/>
                <w:sz w:val="18"/>
                <w:szCs w:val="18"/>
                <w:u w:val="none"/>
                <w:lang w:val="en-US" w:eastAsia="zh-CN" w:bidi="ar"/>
              </w:rPr>
              <w:t>㎡</w:t>
            </w:r>
          </w:p>
        </w:tc>
        <w:tc>
          <w:tcPr>
            <w:tcW w:w="1788" w:type="dxa"/>
            <w:tcBorders>
              <w:top w:val="single" w:color="000000" w:sz="4" w:space="0"/>
              <w:left w:val="single" w:color="000000" w:sz="4" w:space="0"/>
              <w:bottom w:val="nil"/>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需更换#10槽钢10m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50" w:hRule="atLeast"/>
          <w:jc w:val="center"/>
        </w:trPr>
        <w:tc>
          <w:tcPr>
            <w:tcW w:w="48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r>
              <w:rPr>
                <w:rFonts w:hint="eastAsia" w:ascii="宋体" w:hAnsi="宋体" w:cs="宋体"/>
                <w:i w:val="0"/>
                <w:color w:val="000000"/>
                <w:kern w:val="0"/>
                <w:sz w:val="18"/>
                <w:szCs w:val="18"/>
                <w:u w:val="none"/>
                <w:lang w:val="en-US" w:eastAsia="zh-CN" w:bidi="ar"/>
              </w:rPr>
              <w:t>0</w:t>
            </w:r>
          </w:p>
        </w:tc>
        <w:tc>
          <w:tcPr>
            <w:tcW w:w="117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r>
              <w:rPr>
                <w:rFonts w:hint="eastAsia" w:ascii="宋体" w:hAnsi="宋体" w:cs="宋体"/>
                <w:i w:val="0"/>
                <w:color w:val="000000"/>
                <w:kern w:val="0"/>
                <w:sz w:val="18"/>
                <w:szCs w:val="18"/>
                <w:u w:val="none"/>
                <w:lang w:val="en-US" w:eastAsia="zh-CN" w:bidi="ar"/>
              </w:rPr>
              <w:t>机组</w:t>
            </w:r>
            <w:r>
              <w:rPr>
                <w:rFonts w:hint="eastAsia" w:ascii="宋体" w:hAnsi="宋体" w:eastAsia="宋体" w:cs="宋体"/>
                <w:i w:val="0"/>
                <w:color w:val="000000"/>
                <w:kern w:val="0"/>
                <w:sz w:val="18"/>
                <w:szCs w:val="18"/>
                <w:u w:val="none"/>
                <w:lang w:val="en-US" w:eastAsia="zh-CN" w:bidi="ar"/>
              </w:rPr>
              <w:t>脱硫原烟道</w:t>
            </w:r>
          </w:p>
        </w:tc>
        <w:tc>
          <w:tcPr>
            <w:tcW w:w="2277"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A、B侧13.2m至23.3m扶梯平台及顶部平台延伸4m</w:t>
            </w:r>
          </w:p>
        </w:tc>
        <w:tc>
          <w:tcPr>
            <w:tcW w:w="23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需更换钢格栅板40㎡</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踏步板200*800mm 60块</w:t>
            </w:r>
          </w:p>
        </w:tc>
        <w:tc>
          <w:tcPr>
            <w:tcW w:w="17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pageBreakBefore w:val="0"/>
              <w:widowControl/>
              <w:suppressLineNumbers w:val="0"/>
              <w:kinsoku/>
              <w:wordWrap/>
              <w:overflowPunct/>
              <w:topLinePunct w:val="0"/>
              <w:autoSpaceDE/>
              <w:autoSpaceDN/>
              <w:bidi w:val="0"/>
              <w:adjustRightInd/>
              <w:snapToGrid/>
              <w:spacing w:afterAutospacing="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需更换φ32栏杆60m</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φ25栏杆80m</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#10踢脚板</w:t>
            </w:r>
            <w:r>
              <w:rPr>
                <w:rFonts w:hint="eastAsia" w:ascii="宋体" w:hAnsi="宋体" w:cs="宋体"/>
                <w:i w:val="0"/>
                <w:color w:val="000000"/>
                <w:kern w:val="0"/>
                <w:sz w:val="18"/>
                <w:szCs w:val="18"/>
                <w:u w:val="none"/>
                <w:lang w:val="en-US" w:eastAsia="zh-CN" w:bidi="ar"/>
              </w:rPr>
              <w:t>3</w:t>
            </w:r>
            <w:r>
              <w:rPr>
                <w:rFonts w:hint="eastAsia" w:ascii="宋体" w:hAnsi="宋体" w:eastAsia="宋体" w:cs="宋体"/>
                <w:i w:val="0"/>
                <w:color w:val="000000"/>
                <w:kern w:val="0"/>
                <w:sz w:val="18"/>
                <w:szCs w:val="18"/>
                <w:u w:val="none"/>
                <w:lang w:val="en-US" w:eastAsia="zh-CN" w:bidi="ar"/>
              </w:rPr>
              <w:t>0m</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#16槽钢40m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720" w:hRule="atLeast"/>
          <w:jc w:val="center"/>
        </w:trPr>
        <w:tc>
          <w:tcPr>
            <w:tcW w:w="48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18"/>
                <w:szCs w:val="18"/>
                <w:u w:val="none"/>
              </w:rPr>
            </w:pPr>
          </w:p>
        </w:tc>
        <w:tc>
          <w:tcPr>
            <w:tcW w:w="117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18"/>
                <w:szCs w:val="18"/>
                <w:u w:val="none"/>
              </w:rPr>
            </w:pPr>
          </w:p>
        </w:tc>
        <w:tc>
          <w:tcPr>
            <w:tcW w:w="227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宋体" w:hAnsi="宋体" w:eastAsia="宋体" w:cs="宋体"/>
                <w:i w:val="0"/>
                <w:color w:val="000000"/>
                <w:sz w:val="18"/>
                <w:szCs w:val="18"/>
                <w:u w:val="none"/>
              </w:rPr>
            </w:pPr>
          </w:p>
        </w:tc>
        <w:tc>
          <w:tcPr>
            <w:tcW w:w="23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宋体" w:hAnsi="宋体" w:eastAsia="宋体" w:cs="宋体"/>
                <w:i w:val="0"/>
                <w:color w:val="000000"/>
                <w:sz w:val="18"/>
                <w:szCs w:val="18"/>
                <w:u w:val="none"/>
              </w:rPr>
            </w:pPr>
          </w:p>
        </w:tc>
        <w:tc>
          <w:tcPr>
            <w:tcW w:w="17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327" w:hRule="atLeast"/>
          <w:jc w:val="center"/>
        </w:trPr>
        <w:tc>
          <w:tcPr>
            <w:tcW w:w="489"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r>
              <w:rPr>
                <w:rFonts w:hint="eastAsia" w:ascii="宋体" w:hAnsi="宋体" w:cs="宋体"/>
                <w:i w:val="0"/>
                <w:color w:val="000000"/>
                <w:kern w:val="0"/>
                <w:sz w:val="18"/>
                <w:szCs w:val="18"/>
                <w:u w:val="none"/>
                <w:lang w:val="en-US" w:eastAsia="zh-CN" w:bidi="ar"/>
              </w:rPr>
              <w:t>1</w:t>
            </w:r>
          </w:p>
        </w:tc>
        <w:tc>
          <w:tcPr>
            <w:tcW w:w="1177"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#2</w:t>
            </w:r>
            <w:r>
              <w:rPr>
                <w:rFonts w:hint="eastAsia" w:ascii="宋体" w:hAnsi="宋体" w:cs="宋体"/>
                <w:i w:val="0"/>
                <w:color w:val="000000"/>
                <w:kern w:val="0"/>
                <w:sz w:val="18"/>
                <w:szCs w:val="18"/>
                <w:u w:val="none"/>
                <w:lang w:val="en-US" w:eastAsia="zh-CN" w:bidi="ar"/>
              </w:rPr>
              <w:t>机组</w:t>
            </w:r>
            <w:r>
              <w:rPr>
                <w:rFonts w:hint="eastAsia" w:ascii="宋体" w:hAnsi="宋体" w:eastAsia="宋体" w:cs="宋体"/>
                <w:i w:val="0"/>
                <w:color w:val="000000"/>
                <w:kern w:val="0"/>
                <w:sz w:val="18"/>
                <w:szCs w:val="18"/>
                <w:u w:val="none"/>
                <w:lang w:val="en-US" w:eastAsia="zh-CN" w:bidi="ar"/>
              </w:rPr>
              <w:t>脱硫净烟道</w:t>
            </w:r>
          </w:p>
        </w:tc>
        <w:tc>
          <w:tcPr>
            <w:tcW w:w="2277"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A、B侧13.2m至23.3m扶梯平台及顶部平台延伸4m</w:t>
            </w:r>
          </w:p>
        </w:tc>
        <w:tc>
          <w:tcPr>
            <w:tcW w:w="23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需更换钢格栅板</w:t>
            </w:r>
            <w:r>
              <w:rPr>
                <w:rFonts w:hint="eastAsia" w:ascii="宋体" w:hAnsi="宋体" w:cs="宋体"/>
                <w:i w:val="0"/>
                <w:color w:val="000000"/>
                <w:kern w:val="0"/>
                <w:sz w:val="18"/>
                <w:szCs w:val="18"/>
                <w:u w:val="none"/>
                <w:lang w:val="en-US" w:eastAsia="zh-CN" w:bidi="ar"/>
              </w:rPr>
              <w:t>5</w:t>
            </w:r>
            <w:r>
              <w:rPr>
                <w:rFonts w:hint="eastAsia" w:ascii="宋体" w:hAnsi="宋体" w:eastAsia="宋体" w:cs="宋体"/>
                <w:i w:val="0"/>
                <w:color w:val="000000"/>
                <w:kern w:val="0"/>
                <w:sz w:val="18"/>
                <w:szCs w:val="18"/>
                <w:u w:val="none"/>
                <w:lang w:val="en-US" w:eastAsia="zh-CN" w:bidi="ar"/>
              </w:rPr>
              <w:t>㎡</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 xml:space="preserve">踏步板200*800mm </w:t>
            </w:r>
            <w:r>
              <w:rPr>
                <w:rFonts w:hint="eastAsia" w:ascii="宋体" w:hAnsi="宋体" w:cs="宋体"/>
                <w:i w:val="0"/>
                <w:color w:val="000000"/>
                <w:kern w:val="0"/>
                <w:sz w:val="18"/>
                <w:szCs w:val="18"/>
                <w:u w:val="none"/>
                <w:lang w:val="en-US" w:eastAsia="zh-CN" w:bidi="ar"/>
              </w:rPr>
              <w:t>10</w:t>
            </w:r>
            <w:r>
              <w:rPr>
                <w:rFonts w:hint="eastAsia" w:ascii="宋体" w:hAnsi="宋体" w:eastAsia="宋体" w:cs="宋体"/>
                <w:i w:val="0"/>
                <w:color w:val="000000"/>
                <w:kern w:val="0"/>
                <w:sz w:val="18"/>
                <w:szCs w:val="18"/>
                <w:u w:val="none"/>
                <w:lang w:val="en-US" w:eastAsia="zh-CN" w:bidi="ar"/>
              </w:rPr>
              <w:t>块</w:t>
            </w:r>
          </w:p>
        </w:tc>
        <w:tc>
          <w:tcPr>
            <w:tcW w:w="1788" w:type="dxa"/>
            <w:vMerge w:val="restart"/>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需更换φ32栏杆20m</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φ25栏杆40m</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#10踢脚板</w:t>
            </w:r>
            <w:r>
              <w:rPr>
                <w:rFonts w:hint="eastAsia" w:ascii="宋体" w:hAnsi="宋体" w:cs="宋体"/>
                <w:i w:val="0"/>
                <w:color w:val="000000"/>
                <w:kern w:val="0"/>
                <w:sz w:val="18"/>
                <w:szCs w:val="18"/>
                <w:u w:val="none"/>
                <w:lang w:val="en-US" w:eastAsia="zh-CN" w:bidi="ar"/>
              </w:rPr>
              <w:t>5</w:t>
            </w:r>
            <w:r>
              <w:rPr>
                <w:rFonts w:hint="eastAsia" w:ascii="宋体" w:hAnsi="宋体" w:eastAsia="宋体" w:cs="宋体"/>
                <w:i w:val="0"/>
                <w:color w:val="000000"/>
                <w:kern w:val="0"/>
                <w:sz w:val="18"/>
                <w:szCs w:val="18"/>
                <w:u w:val="none"/>
                <w:lang w:val="en-US" w:eastAsia="zh-CN" w:bidi="ar"/>
              </w:rPr>
              <w:t>m</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#16槽钢18m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94" w:hRule="atLeast"/>
          <w:jc w:val="center"/>
        </w:trPr>
        <w:tc>
          <w:tcPr>
            <w:tcW w:w="489"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18"/>
                <w:szCs w:val="18"/>
                <w:u w:val="none"/>
              </w:rPr>
            </w:pPr>
          </w:p>
        </w:tc>
        <w:tc>
          <w:tcPr>
            <w:tcW w:w="1177"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jc w:val="center"/>
              <w:rPr>
                <w:rFonts w:hint="eastAsia" w:ascii="宋体" w:hAnsi="宋体" w:eastAsia="宋体" w:cs="宋体"/>
                <w:i w:val="0"/>
                <w:color w:val="000000"/>
                <w:sz w:val="18"/>
                <w:szCs w:val="18"/>
                <w:u w:val="none"/>
              </w:rPr>
            </w:pPr>
          </w:p>
        </w:tc>
        <w:tc>
          <w:tcPr>
            <w:tcW w:w="2277"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宋体" w:hAnsi="宋体" w:eastAsia="宋体" w:cs="宋体"/>
                <w:i w:val="0"/>
                <w:color w:val="000000"/>
                <w:sz w:val="18"/>
                <w:szCs w:val="18"/>
                <w:u w:val="none"/>
              </w:rPr>
            </w:pPr>
          </w:p>
        </w:tc>
        <w:tc>
          <w:tcPr>
            <w:tcW w:w="23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left"/>
              <w:rPr>
                <w:rFonts w:hint="eastAsia" w:ascii="宋体" w:hAnsi="宋体" w:eastAsia="宋体" w:cs="宋体"/>
                <w:i w:val="0"/>
                <w:color w:val="000000"/>
                <w:sz w:val="18"/>
                <w:szCs w:val="18"/>
                <w:u w:val="none"/>
              </w:rPr>
            </w:pPr>
          </w:p>
        </w:tc>
        <w:tc>
          <w:tcPr>
            <w:tcW w:w="1788" w:type="dxa"/>
            <w:vMerge w:val="continue"/>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jc w:val="both"/>
              <w:rPr>
                <w:rFonts w:hint="eastAsia" w:ascii="宋体" w:hAnsi="宋体" w:eastAsia="宋体" w:cs="宋体"/>
                <w:i w:val="0"/>
                <w:color w:val="000000"/>
                <w:sz w:val="18"/>
                <w:szCs w:val="1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1201"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r>
              <w:rPr>
                <w:rFonts w:hint="eastAsia" w:ascii="宋体" w:hAnsi="宋体" w:cs="宋体"/>
                <w:i w:val="0"/>
                <w:color w:val="000000"/>
                <w:kern w:val="0"/>
                <w:sz w:val="18"/>
                <w:szCs w:val="18"/>
                <w:u w:val="none"/>
                <w:lang w:val="en-US" w:eastAsia="zh-CN" w:bidi="ar"/>
              </w:rPr>
              <w:t>3</w:t>
            </w:r>
          </w:p>
        </w:tc>
        <w:tc>
          <w:tcPr>
            <w:tcW w:w="345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#3、#4石膏旋流站操作平台</w:t>
            </w:r>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需更换树脂格栅板</w:t>
            </w:r>
            <w:r>
              <w:rPr>
                <w:rFonts w:hint="eastAsia" w:ascii="宋体" w:hAnsi="宋体" w:cs="宋体"/>
                <w:i w:val="0"/>
                <w:color w:val="000000"/>
                <w:kern w:val="0"/>
                <w:sz w:val="18"/>
                <w:szCs w:val="18"/>
                <w:u w:val="none"/>
                <w:lang w:val="en-US" w:eastAsia="zh-CN" w:bidi="ar"/>
              </w:rPr>
              <w:t>30</w:t>
            </w:r>
            <w:r>
              <w:rPr>
                <w:rFonts w:hint="eastAsia" w:ascii="宋体" w:hAnsi="宋体" w:eastAsia="宋体" w:cs="宋体"/>
                <w:i w:val="0"/>
                <w:color w:val="000000"/>
                <w:kern w:val="0"/>
                <w:sz w:val="18"/>
                <w:szCs w:val="18"/>
                <w:u w:val="none"/>
                <w:lang w:val="en-US" w:eastAsia="zh-CN" w:bidi="ar"/>
              </w:rPr>
              <w:t>㎡</w:t>
            </w:r>
          </w:p>
        </w:tc>
        <w:tc>
          <w:tcPr>
            <w:tcW w:w="17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需更换φ32栏杆12m</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φ25栏杆</w:t>
            </w:r>
            <w:r>
              <w:rPr>
                <w:rFonts w:hint="eastAsia" w:ascii="宋体" w:hAnsi="宋体" w:cs="宋体"/>
                <w:i w:val="0"/>
                <w:color w:val="000000"/>
                <w:kern w:val="0"/>
                <w:sz w:val="18"/>
                <w:szCs w:val="18"/>
                <w:u w:val="none"/>
                <w:lang w:val="en-US" w:eastAsia="zh-CN" w:bidi="ar"/>
              </w:rPr>
              <w:t>24</w:t>
            </w:r>
            <w:r>
              <w:rPr>
                <w:rFonts w:hint="eastAsia" w:ascii="宋体" w:hAnsi="宋体" w:eastAsia="宋体" w:cs="宋体"/>
                <w:i w:val="0"/>
                <w:color w:val="000000"/>
                <w:kern w:val="0"/>
                <w:sz w:val="18"/>
                <w:szCs w:val="18"/>
                <w:u w:val="none"/>
                <w:lang w:val="en-US" w:eastAsia="zh-CN" w:bidi="ar"/>
              </w:rPr>
              <w:t>m</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#10踢脚板</w:t>
            </w:r>
            <w:r>
              <w:rPr>
                <w:rFonts w:hint="eastAsia" w:ascii="宋体" w:hAnsi="宋体" w:cs="宋体"/>
                <w:i w:val="0"/>
                <w:color w:val="000000"/>
                <w:kern w:val="0"/>
                <w:sz w:val="18"/>
                <w:szCs w:val="18"/>
                <w:u w:val="none"/>
                <w:lang w:val="en-US" w:eastAsia="zh-CN" w:bidi="ar"/>
              </w:rPr>
              <w:t>4</w:t>
            </w:r>
            <w:r>
              <w:rPr>
                <w:rFonts w:hint="eastAsia" w:ascii="宋体" w:hAnsi="宋体" w:eastAsia="宋体" w:cs="宋体"/>
                <w:i w:val="0"/>
                <w:color w:val="000000"/>
                <w:kern w:val="0"/>
                <w:sz w:val="18"/>
                <w:szCs w:val="18"/>
                <w:u w:val="none"/>
                <w:lang w:val="en-US" w:eastAsia="zh-CN" w:bidi="ar"/>
              </w:rPr>
              <w:t>m</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#16槽钢24m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96"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r>
              <w:rPr>
                <w:rFonts w:hint="eastAsia" w:ascii="宋体" w:hAnsi="宋体" w:cs="宋体"/>
                <w:i w:val="0"/>
                <w:color w:val="000000"/>
                <w:kern w:val="0"/>
                <w:sz w:val="18"/>
                <w:szCs w:val="18"/>
                <w:u w:val="none"/>
                <w:lang w:val="en-US" w:eastAsia="zh-CN" w:bidi="ar"/>
              </w:rPr>
              <w:t>4</w:t>
            </w:r>
          </w:p>
        </w:tc>
        <w:tc>
          <w:tcPr>
            <w:tcW w:w="345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脱硫综合管架操作平台</w:t>
            </w:r>
          </w:p>
        </w:tc>
        <w:tc>
          <w:tcPr>
            <w:tcW w:w="23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需更换钢格栅板</w:t>
            </w:r>
            <w:r>
              <w:rPr>
                <w:rFonts w:hint="eastAsia" w:ascii="宋体" w:hAnsi="宋体" w:cs="宋体"/>
                <w:i w:val="0"/>
                <w:color w:val="000000"/>
                <w:kern w:val="0"/>
                <w:sz w:val="18"/>
                <w:szCs w:val="18"/>
                <w:u w:val="none"/>
                <w:lang w:val="en-US" w:eastAsia="zh-CN" w:bidi="ar"/>
              </w:rPr>
              <w:t>25</w:t>
            </w:r>
            <w:r>
              <w:rPr>
                <w:rFonts w:hint="eastAsia" w:ascii="宋体" w:hAnsi="宋体" w:eastAsia="宋体" w:cs="宋体"/>
                <w:i w:val="0"/>
                <w:color w:val="000000"/>
                <w:kern w:val="0"/>
                <w:sz w:val="18"/>
                <w:szCs w:val="18"/>
                <w:u w:val="none"/>
                <w:lang w:val="en-US" w:eastAsia="zh-CN" w:bidi="ar"/>
              </w:rPr>
              <w:t>㎡</w:t>
            </w:r>
          </w:p>
        </w:tc>
        <w:tc>
          <w:tcPr>
            <w:tcW w:w="17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cs="宋体"/>
                <w:i w:val="0"/>
                <w:color w:val="000000"/>
                <w:kern w:val="0"/>
                <w:sz w:val="18"/>
                <w:szCs w:val="18"/>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549"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w:t>
            </w:r>
            <w:r>
              <w:rPr>
                <w:rFonts w:hint="eastAsia" w:ascii="宋体" w:hAnsi="宋体" w:cs="宋体"/>
                <w:i w:val="0"/>
                <w:color w:val="000000"/>
                <w:kern w:val="0"/>
                <w:sz w:val="18"/>
                <w:szCs w:val="18"/>
                <w:u w:val="none"/>
                <w:lang w:val="en-US" w:eastAsia="zh-CN" w:bidi="ar"/>
              </w:rPr>
              <w:t>5</w:t>
            </w:r>
          </w:p>
        </w:tc>
        <w:tc>
          <w:tcPr>
            <w:tcW w:w="345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#3、#4斗提机顶部减速机平台</w:t>
            </w:r>
          </w:p>
        </w:tc>
        <w:tc>
          <w:tcPr>
            <w:tcW w:w="23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需更换钢格栅板18㎡</w:t>
            </w:r>
          </w:p>
        </w:tc>
        <w:tc>
          <w:tcPr>
            <w:tcW w:w="178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需更换#16槽钢</w:t>
            </w:r>
            <w:r>
              <w:rPr>
                <w:rFonts w:hint="eastAsia" w:ascii="宋体" w:hAnsi="宋体" w:cs="宋体"/>
                <w:i w:val="0"/>
                <w:color w:val="000000"/>
                <w:kern w:val="0"/>
                <w:sz w:val="18"/>
                <w:szCs w:val="18"/>
                <w:u w:val="none"/>
                <w:lang w:val="en-US" w:eastAsia="zh-CN" w:bidi="ar"/>
              </w:rPr>
              <w:t>4</w:t>
            </w:r>
            <w:r>
              <w:rPr>
                <w:rFonts w:hint="eastAsia" w:ascii="宋体" w:hAnsi="宋体" w:eastAsia="宋体" w:cs="宋体"/>
                <w:i w:val="0"/>
                <w:color w:val="000000"/>
                <w:kern w:val="0"/>
                <w:sz w:val="18"/>
                <w:szCs w:val="18"/>
                <w:u w:val="none"/>
                <w:lang w:val="en-US" w:eastAsia="zh-CN" w:bidi="ar"/>
              </w:rPr>
              <w:t>2m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6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i w:val="0"/>
                <w:color w:val="000000"/>
                <w:sz w:val="18"/>
                <w:szCs w:val="18"/>
                <w:u w:val="none"/>
                <w:lang w:val="en-US"/>
              </w:rPr>
            </w:pPr>
            <w:r>
              <w:rPr>
                <w:rFonts w:hint="eastAsia" w:ascii="宋体" w:hAnsi="宋体" w:cs="宋体"/>
                <w:i w:val="0"/>
                <w:color w:val="000000"/>
                <w:kern w:val="0"/>
                <w:sz w:val="18"/>
                <w:szCs w:val="18"/>
                <w:u w:val="none"/>
                <w:lang w:val="en-US" w:eastAsia="zh-CN" w:bidi="ar"/>
              </w:rPr>
              <w:t>16</w:t>
            </w:r>
          </w:p>
        </w:tc>
        <w:tc>
          <w:tcPr>
            <w:tcW w:w="3454" w:type="dxa"/>
            <w:gridSpan w:val="2"/>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#1、#2斗提机顶部平台</w:t>
            </w:r>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w:t>
            </w:r>
          </w:p>
        </w:tc>
        <w:tc>
          <w:tcPr>
            <w:tcW w:w="17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需更换φ32栏杆12m</w:t>
            </w:r>
            <w:r>
              <w:rPr>
                <w:rFonts w:hint="eastAsia" w:ascii="宋体" w:hAnsi="宋体" w:eastAsia="宋体" w:cs="宋体"/>
                <w:i w:val="0"/>
                <w:color w:val="000000"/>
                <w:kern w:val="0"/>
                <w:sz w:val="18"/>
                <w:szCs w:val="18"/>
                <w:u w:val="none"/>
                <w:lang w:val="en-US" w:eastAsia="zh-CN" w:bidi="ar"/>
              </w:rPr>
              <w:br w:type="textWrapping"/>
            </w:r>
            <w:r>
              <w:rPr>
                <w:rFonts w:hint="eastAsia" w:ascii="宋体" w:hAnsi="宋体" w:eastAsia="宋体" w:cs="宋体"/>
                <w:i w:val="0"/>
                <w:color w:val="000000"/>
                <w:kern w:val="0"/>
                <w:sz w:val="18"/>
                <w:szCs w:val="18"/>
                <w:u w:val="none"/>
                <w:lang w:val="en-US" w:eastAsia="zh-CN" w:bidi="ar"/>
              </w:rPr>
              <w:t>φ25栏杆2</w:t>
            </w:r>
            <w:r>
              <w:rPr>
                <w:rFonts w:hint="eastAsia" w:ascii="宋体" w:hAnsi="宋体" w:cs="宋体"/>
                <w:i w:val="0"/>
                <w:color w:val="000000"/>
                <w:kern w:val="0"/>
                <w:sz w:val="18"/>
                <w:szCs w:val="18"/>
                <w:u w:val="none"/>
                <w:lang w:val="en-US" w:eastAsia="zh-CN" w:bidi="ar"/>
              </w:rPr>
              <w:t>4</w:t>
            </w:r>
            <w:r>
              <w:rPr>
                <w:rFonts w:hint="eastAsia" w:ascii="宋体" w:hAnsi="宋体" w:eastAsia="宋体" w:cs="宋体"/>
                <w:i w:val="0"/>
                <w:color w:val="000000"/>
                <w:kern w:val="0"/>
                <w:sz w:val="18"/>
                <w:szCs w:val="18"/>
                <w:u w:val="none"/>
                <w:lang w:val="en-US" w:eastAsia="zh-CN" w:bidi="ar"/>
              </w:rPr>
              <w:t>m</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0" w:type="dxa"/>
            <w:bottom w:w="0" w:type="dxa"/>
            <w:right w:w="0" w:type="dxa"/>
          </w:tblCellMar>
        </w:tblPrEx>
        <w:trPr>
          <w:trHeight w:val="667" w:hRule="atLeast"/>
          <w:jc w:val="center"/>
        </w:trPr>
        <w:tc>
          <w:tcPr>
            <w:tcW w:w="489"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center"/>
              <w:textAlignment w:val="center"/>
              <w:rPr>
                <w:rFonts w:hint="default" w:ascii="宋体" w:hAnsi="宋体" w:eastAsia="宋体" w:cs="宋体"/>
                <w:i w:val="0"/>
                <w:color w:val="000000"/>
                <w:sz w:val="18"/>
                <w:szCs w:val="18"/>
                <w:u w:val="none"/>
                <w:lang w:val="en-US"/>
              </w:rPr>
            </w:pPr>
            <w:r>
              <w:rPr>
                <w:rFonts w:hint="eastAsia" w:ascii="宋体" w:hAnsi="宋体" w:cs="宋体"/>
                <w:i w:val="0"/>
                <w:color w:val="000000"/>
                <w:kern w:val="0"/>
                <w:sz w:val="18"/>
                <w:szCs w:val="18"/>
                <w:u w:val="none"/>
                <w:lang w:val="en-US" w:eastAsia="zh-CN" w:bidi="ar"/>
              </w:rPr>
              <w:t>17</w:t>
            </w:r>
          </w:p>
        </w:tc>
        <w:tc>
          <w:tcPr>
            <w:tcW w:w="3454" w:type="dxa"/>
            <w:gridSpan w:val="2"/>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center"/>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#1、#2斗提机顶部减速机平台</w:t>
            </w:r>
          </w:p>
        </w:tc>
        <w:tc>
          <w:tcPr>
            <w:tcW w:w="2388" w:type="dxa"/>
            <w:tcBorders>
              <w:top w:val="single" w:color="000000" w:sz="4" w:space="0"/>
              <w:left w:val="single" w:color="000000" w:sz="4" w:space="0"/>
              <w:bottom w:val="single" w:color="000000" w:sz="4" w:space="0"/>
              <w:right w:val="single" w:color="000000" w:sz="4" w:space="0"/>
            </w:tcBorders>
            <w:shd w:val="clear" w:color="auto" w:fill="auto"/>
            <w:noWrap/>
            <w:tcMar>
              <w:top w:w="12" w:type="dxa"/>
              <w:left w:w="12" w:type="dxa"/>
              <w:right w:w="12" w:type="dxa"/>
            </w:tcMar>
            <w:vAlign w:val="center"/>
          </w:tcPr>
          <w:p>
            <w:pPr>
              <w:keepNext w:val="0"/>
              <w:keepLines w:val="0"/>
              <w:widowControl/>
              <w:suppressLineNumbers w:val="0"/>
              <w:jc w:val="left"/>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需更换钢格栅板18㎡</w:t>
            </w:r>
          </w:p>
        </w:tc>
        <w:tc>
          <w:tcPr>
            <w:tcW w:w="1788" w:type="dxa"/>
            <w:tcBorders>
              <w:top w:val="single" w:color="000000" w:sz="4" w:space="0"/>
              <w:left w:val="single" w:color="000000" w:sz="4" w:space="0"/>
              <w:bottom w:val="single" w:color="000000" w:sz="4" w:space="0"/>
              <w:right w:val="single" w:color="000000" w:sz="4" w:space="0"/>
            </w:tcBorders>
            <w:shd w:val="clear" w:color="auto" w:fill="auto"/>
            <w:tcMar>
              <w:top w:w="12" w:type="dxa"/>
              <w:left w:w="12" w:type="dxa"/>
              <w:right w:w="12" w:type="dxa"/>
            </w:tcMar>
            <w:vAlign w:val="center"/>
          </w:tcPr>
          <w:p>
            <w:pPr>
              <w:keepNext w:val="0"/>
              <w:keepLines w:val="0"/>
              <w:widowControl/>
              <w:suppressLineNumbers w:val="0"/>
              <w:jc w:val="both"/>
              <w:textAlignment w:val="center"/>
              <w:rPr>
                <w:rFonts w:hint="eastAsia" w:ascii="宋体" w:hAnsi="宋体" w:eastAsia="宋体" w:cs="宋体"/>
                <w:i w:val="0"/>
                <w:color w:val="000000"/>
                <w:sz w:val="18"/>
                <w:szCs w:val="18"/>
                <w:u w:val="none"/>
              </w:rPr>
            </w:pPr>
            <w:r>
              <w:rPr>
                <w:rFonts w:hint="eastAsia" w:ascii="宋体" w:hAnsi="宋体" w:eastAsia="宋体" w:cs="宋体"/>
                <w:i w:val="0"/>
                <w:color w:val="000000"/>
                <w:kern w:val="0"/>
                <w:sz w:val="18"/>
                <w:szCs w:val="18"/>
                <w:u w:val="none"/>
                <w:lang w:val="en-US" w:eastAsia="zh-CN" w:bidi="ar"/>
              </w:rPr>
              <w:t>需更换#16槽钢</w:t>
            </w:r>
            <w:r>
              <w:rPr>
                <w:rFonts w:hint="eastAsia" w:ascii="宋体" w:hAnsi="宋体" w:cs="宋体"/>
                <w:i w:val="0"/>
                <w:color w:val="000000"/>
                <w:kern w:val="0"/>
                <w:sz w:val="18"/>
                <w:szCs w:val="18"/>
                <w:u w:val="none"/>
                <w:lang w:val="en-US" w:eastAsia="zh-CN" w:bidi="ar"/>
              </w:rPr>
              <w:t>4</w:t>
            </w:r>
            <w:r>
              <w:rPr>
                <w:rFonts w:hint="eastAsia" w:ascii="宋体" w:hAnsi="宋体" w:eastAsia="宋体" w:cs="宋体"/>
                <w:i w:val="0"/>
                <w:color w:val="000000"/>
                <w:kern w:val="0"/>
                <w:sz w:val="18"/>
                <w:szCs w:val="18"/>
                <w:u w:val="none"/>
                <w:lang w:val="en-US" w:eastAsia="zh-CN" w:bidi="ar"/>
              </w:rPr>
              <w:t>2m</w:t>
            </w:r>
          </w:p>
        </w:tc>
      </w:tr>
    </w:tbl>
    <w:p>
      <w:pPr>
        <w:pStyle w:val="19"/>
        <w:keepNext w:val="0"/>
        <w:keepLines w:val="0"/>
        <w:pageBreakBefore w:val="0"/>
        <w:widowControl w:val="0"/>
        <w:kinsoku/>
        <w:wordWrap/>
        <w:overflowPunct/>
        <w:topLinePunct w:val="0"/>
        <w:autoSpaceDE/>
        <w:autoSpaceDN/>
        <w:bidi w:val="0"/>
        <w:adjustRightInd/>
        <w:snapToGrid/>
        <w:spacing w:before="157" w:beforeLines="50"/>
        <w:ind w:left="0" w:leftChars="0" w:firstLine="0" w:firstLineChars="0"/>
        <w:jc w:val="both"/>
        <w:textAlignment w:val="auto"/>
        <w:rPr>
          <w:rFonts w:hint="eastAsia" w:asciiTheme="minorEastAsia" w:hAnsiTheme="minorEastAsia" w:eastAsiaTheme="minorEastAsia" w:cstheme="minorEastAsia"/>
          <w:b w:val="0"/>
          <w:color w:val="000000"/>
          <w:spacing w:val="0"/>
          <w:sz w:val="21"/>
          <w:szCs w:val="21"/>
          <w:lang w:val="en-US" w:eastAsia="zh-CN" w:bidi="ar-SA"/>
        </w:rPr>
      </w:pPr>
      <w:r>
        <w:rPr>
          <w:rFonts w:hint="eastAsia" w:asciiTheme="minorEastAsia" w:hAnsiTheme="minorEastAsia" w:eastAsiaTheme="minorEastAsia" w:cstheme="minorEastAsia"/>
          <w:b w:val="0"/>
          <w:color w:val="000000"/>
          <w:spacing w:val="0"/>
          <w:sz w:val="21"/>
          <w:szCs w:val="21"/>
          <w:lang w:val="en-US" w:eastAsia="zh-CN" w:bidi="ar-SA"/>
        </w:rPr>
        <w:t>备注：本技术规范书中所列治理项目的工作量为该项目的结算量。投标方应充分熟悉、了解治理部位与工作量。投标方参与投标，招标方将视为投标方对系统设施治理部位及工作量认可。若对具体治理部位存在争议，应以招标方所解释的位置为准；其他临时需要增加的治理作业，经招标方复核确有必要实施，在施工前对需要治理的部位予以明确并达成一致后方可施工，否则不予计量。</w:t>
      </w:r>
    </w:p>
    <w:p>
      <w:pPr>
        <w:keepNext/>
        <w:keepLines w:val="0"/>
        <w:pageBreakBefore w:val="0"/>
        <w:widowControl w:val="0"/>
        <w:numPr>
          <w:ilvl w:val="2"/>
          <w:numId w:val="3"/>
        </w:numPr>
        <w:tabs>
          <w:tab w:val="left" w:pos="420"/>
          <w:tab w:val="clear" w:pos="1021"/>
        </w:tabs>
        <w:kinsoku/>
        <w:wordWrap/>
        <w:overflowPunct/>
        <w:topLinePunct w:val="0"/>
        <w:autoSpaceDE/>
        <w:autoSpaceDN/>
        <w:bidi w:val="0"/>
        <w:adjustRightInd w:val="0"/>
        <w:snapToGrid/>
        <w:spacing w:before="157" w:beforeLines="50" w:after="157" w:afterLines="50" w:line="360" w:lineRule="auto"/>
        <w:ind w:left="0" w:firstLine="0"/>
        <w:jc w:val="left"/>
        <w:textAlignment w:val="baseline"/>
        <w:outlineLvl w:val="2"/>
        <w:rPr>
          <w:rFonts w:hint="default" w:ascii="Times New Roman" w:hAnsi="Times New Roman" w:eastAsia="黑体" w:cs="Times New Roman"/>
          <w:color w:val="000000"/>
          <w:spacing w:val="0"/>
          <w:kern w:val="2"/>
          <w:sz w:val="24"/>
          <w:szCs w:val="24"/>
          <w:lang w:val="en-US" w:eastAsia="zh-CN" w:bidi="ar-SA"/>
        </w:rPr>
      </w:pPr>
      <w:bookmarkStart w:id="24" w:name="_Toc473050775"/>
      <w:bookmarkStart w:id="25" w:name="_Toc473051159"/>
      <w:bookmarkStart w:id="26" w:name="_Toc26863_WPSOffice_Level1"/>
      <w:bookmarkStart w:id="27" w:name="_Toc473050570"/>
      <w:r>
        <w:rPr>
          <w:rFonts w:hint="default" w:ascii="Times New Roman" w:hAnsi="Times New Roman" w:eastAsia="黑体" w:cs="Times New Roman"/>
          <w:color w:val="000000"/>
          <w:spacing w:val="0"/>
          <w:kern w:val="2"/>
          <w:sz w:val="24"/>
          <w:szCs w:val="24"/>
          <w:lang w:val="en-US" w:eastAsia="zh-CN" w:bidi="ar-SA"/>
        </w:rPr>
        <w:t>施工要求及工作配合</w:t>
      </w:r>
      <w:bookmarkEnd w:id="24"/>
      <w:bookmarkEnd w:id="25"/>
      <w:bookmarkEnd w:id="26"/>
      <w:bookmarkEnd w:id="27"/>
    </w:p>
    <w:p>
      <w:pPr>
        <w:pStyle w:val="6"/>
        <w:keepNext w:val="0"/>
        <w:keepLines w:val="0"/>
        <w:numPr>
          <w:ilvl w:val="3"/>
          <w:numId w:val="3"/>
        </w:numPr>
        <w:tabs>
          <w:tab w:val="left" w:pos="567"/>
          <w:tab w:val="clear" w:pos="600"/>
        </w:tabs>
        <w:kinsoku w:val="0"/>
        <w:spacing w:before="163" w:beforeLines="50" w:after="163" w:afterLines="50" w:line="360" w:lineRule="auto"/>
        <w:ind w:left="0" w:firstLine="0"/>
        <w:jc w:val="left"/>
        <w:rPr>
          <w:rFonts w:hint="default" w:ascii="Times New Roman" w:hAnsi="Times New Roman" w:eastAsia="黑体" w:cs="Times New Roman"/>
          <w:b w:val="0"/>
          <w:color w:val="auto"/>
          <w:spacing w:val="0"/>
          <w:sz w:val="24"/>
          <w:szCs w:val="24"/>
        </w:rPr>
      </w:pPr>
      <w:r>
        <w:rPr>
          <w:rFonts w:hint="default" w:ascii="Times New Roman" w:hAnsi="Times New Roman" w:eastAsia="黑体" w:cs="Times New Roman"/>
          <w:b w:val="0"/>
          <w:color w:val="auto"/>
          <w:spacing w:val="0"/>
          <w:sz w:val="24"/>
          <w:szCs w:val="24"/>
        </w:rPr>
        <w:t>施工总体要求</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lang w:eastAsia="zh-CN"/>
        </w:rPr>
        <w:t>投标方</w:t>
      </w:r>
      <w:r>
        <w:rPr>
          <w:rFonts w:hint="default" w:ascii="Times New Roman" w:hAnsi="Times New Roman" w:cs="Times New Roman"/>
          <w:b w:val="0"/>
          <w:color w:val="auto"/>
          <w:sz w:val="24"/>
          <w:szCs w:val="24"/>
        </w:rPr>
        <w:t>必须严格贯彻电力生产</w:t>
      </w:r>
      <w:r>
        <w:rPr>
          <w:rFonts w:hint="default" w:ascii="Times New Roman" w:hAnsi="Times New Roman" w:cs="Times New Roman"/>
          <w:b w:val="0"/>
          <w:color w:val="auto"/>
          <w:sz w:val="24"/>
          <w:szCs w:val="24"/>
          <w:lang w:eastAsia="zh-CN"/>
        </w:rPr>
        <w:t>“</w:t>
      </w:r>
      <w:r>
        <w:rPr>
          <w:rFonts w:hint="default" w:ascii="Times New Roman" w:hAnsi="Times New Roman" w:cs="Times New Roman"/>
          <w:b w:val="0"/>
          <w:color w:val="auto"/>
          <w:sz w:val="24"/>
          <w:szCs w:val="24"/>
        </w:rPr>
        <w:t>安全第一，预防为主</w:t>
      </w:r>
      <w:r>
        <w:rPr>
          <w:rFonts w:hint="default" w:ascii="Times New Roman" w:hAnsi="Times New Roman" w:cs="Times New Roman"/>
          <w:b w:val="0"/>
          <w:color w:val="auto"/>
          <w:sz w:val="24"/>
          <w:szCs w:val="24"/>
          <w:lang w:eastAsia="zh-CN"/>
        </w:rPr>
        <w:t>”</w:t>
      </w:r>
      <w:r>
        <w:rPr>
          <w:rFonts w:hint="default" w:ascii="Times New Roman" w:hAnsi="Times New Roman" w:cs="Times New Roman"/>
          <w:b w:val="0"/>
          <w:color w:val="auto"/>
          <w:sz w:val="24"/>
          <w:szCs w:val="24"/>
        </w:rPr>
        <w:t>的方针，杜绝各类违章，确保人身和设备安全，做到在计划、布置、检查、总结、考核</w:t>
      </w:r>
      <w:r>
        <w:rPr>
          <w:rFonts w:hint="default" w:ascii="Times New Roman" w:hAnsi="Times New Roman" w:cs="Times New Roman"/>
          <w:b w:val="0"/>
          <w:color w:val="auto"/>
          <w:sz w:val="24"/>
          <w:szCs w:val="24"/>
          <w:lang w:val="en-US" w:eastAsia="zh-CN"/>
        </w:rPr>
        <w:t>施工</w:t>
      </w:r>
      <w:r>
        <w:rPr>
          <w:rFonts w:hint="default" w:ascii="Times New Roman" w:hAnsi="Times New Roman" w:cs="Times New Roman"/>
          <w:b w:val="0"/>
          <w:color w:val="auto"/>
          <w:sz w:val="24"/>
          <w:szCs w:val="24"/>
        </w:rPr>
        <w:t>工作的同时，计划、布置、检查、总结、考核安全工作。</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lang w:eastAsia="zh-CN"/>
        </w:rPr>
        <w:t>投标方</w:t>
      </w:r>
      <w:r>
        <w:rPr>
          <w:rFonts w:hint="default" w:ascii="Times New Roman" w:hAnsi="Times New Roman" w:cs="Times New Roman"/>
          <w:b w:val="0"/>
          <w:color w:val="auto"/>
          <w:sz w:val="24"/>
          <w:szCs w:val="24"/>
        </w:rPr>
        <w:t>必须严格遵守国家安全生产法令、法规</w:t>
      </w:r>
      <w:r>
        <w:rPr>
          <w:rFonts w:hint="default" w:ascii="Times New Roman" w:hAnsi="Times New Roman" w:cs="Times New Roman"/>
          <w:b w:val="0"/>
          <w:color w:val="auto"/>
          <w:sz w:val="24"/>
          <w:szCs w:val="24"/>
          <w:lang w:eastAsia="zh-CN"/>
        </w:rPr>
        <w:t>、</w:t>
      </w:r>
      <w:r>
        <w:rPr>
          <w:rFonts w:hint="default" w:ascii="Times New Roman" w:hAnsi="Times New Roman" w:cs="Times New Roman"/>
          <w:b w:val="0"/>
          <w:color w:val="auto"/>
          <w:sz w:val="24"/>
          <w:szCs w:val="24"/>
          <w:lang w:val="en-US" w:eastAsia="zh-CN"/>
        </w:rPr>
        <w:t>行业要求</w:t>
      </w:r>
      <w:r>
        <w:rPr>
          <w:rFonts w:hint="default" w:ascii="Times New Roman" w:hAnsi="Times New Roman" w:cs="Times New Roman"/>
          <w:b w:val="0"/>
          <w:color w:val="auto"/>
          <w:sz w:val="24"/>
          <w:szCs w:val="24"/>
        </w:rPr>
        <w:t>及</w:t>
      </w:r>
      <w:r>
        <w:rPr>
          <w:rFonts w:hint="default" w:ascii="Times New Roman" w:hAnsi="Times New Roman" w:cs="Times New Roman"/>
          <w:b w:val="0"/>
          <w:color w:val="auto"/>
          <w:sz w:val="24"/>
          <w:szCs w:val="24"/>
          <w:lang w:eastAsia="zh-CN"/>
        </w:rPr>
        <w:t>招标方</w:t>
      </w:r>
      <w:r>
        <w:rPr>
          <w:rFonts w:hint="default" w:ascii="Times New Roman" w:hAnsi="Times New Roman" w:cs="Times New Roman"/>
          <w:b w:val="0"/>
          <w:color w:val="auto"/>
          <w:sz w:val="24"/>
          <w:szCs w:val="24"/>
        </w:rPr>
        <w:t>的有关安全生产工作规定、运行操作规程、检修设备检修规程。</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lang w:val="en-US" w:eastAsia="zh-CN"/>
        </w:rPr>
        <w:t>施工</w:t>
      </w:r>
      <w:r>
        <w:rPr>
          <w:rFonts w:hint="default" w:ascii="Times New Roman" w:hAnsi="Times New Roman" w:cs="Times New Roman"/>
          <w:b w:val="0"/>
          <w:color w:val="auto"/>
          <w:sz w:val="24"/>
          <w:szCs w:val="24"/>
        </w:rPr>
        <w:t>人员上岗前，</w:t>
      </w:r>
      <w:r>
        <w:rPr>
          <w:rFonts w:hint="default" w:ascii="Times New Roman" w:hAnsi="Times New Roman" w:cs="Times New Roman"/>
          <w:b w:val="0"/>
          <w:color w:val="auto"/>
          <w:sz w:val="24"/>
          <w:szCs w:val="24"/>
          <w:lang w:eastAsia="zh-CN"/>
        </w:rPr>
        <w:t>投标方</w:t>
      </w:r>
      <w:r>
        <w:rPr>
          <w:rFonts w:hint="default" w:ascii="Times New Roman" w:hAnsi="Times New Roman" w:cs="Times New Roman"/>
          <w:b w:val="0"/>
          <w:color w:val="auto"/>
          <w:sz w:val="24"/>
          <w:szCs w:val="24"/>
        </w:rPr>
        <w:t>管理部门应组织全体人员进行体检和培训，学习相关规程规定及安全生产技术措施，并将所有人员名单、工种、体检表、安全和技能考试试卷及成绩汇总报</w:t>
      </w:r>
      <w:r>
        <w:rPr>
          <w:rFonts w:hint="default" w:ascii="Times New Roman" w:hAnsi="Times New Roman" w:cs="Times New Roman"/>
          <w:b w:val="0"/>
          <w:color w:val="auto"/>
          <w:sz w:val="24"/>
          <w:szCs w:val="24"/>
          <w:lang w:eastAsia="zh-CN"/>
        </w:rPr>
        <w:t>招标方</w:t>
      </w:r>
      <w:r>
        <w:rPr>
          <w:rFonts w:hint="default" w:ascii="Times New Roman" w:hAnsi="Times New Roman" w:cs="Times New Roman"/>
          <w:b w:val="0"/>
          <w:color w:val="auto"/>
          <w:sz w:val="24"/>
          <w:szCs w:val="24"/>
        </w:rPr>
        <w:t>存档，所有施工人员必须经考试合格后方可进入生产现场。</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rPr>
        <w:t>严格遵守社会公德和职业道德，遵守国家的法律法规，遵守厂规厂纪，对生产现场各种设施严格管理，做好防汛、防火、防盗工作，杜绝各类治安案件发生，确保文明生产。</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rPr>
        <w:t>负责完善劳动保护设施，按时向工作人员提供个人劳动防护用品，督促工作人员在工作中正确使用。</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lang w:eastAsia="zh-CN"/>
        </w:rPr>
        <w:t>投标方</w:t>
      </w:r>
      <w:r>
        <w:rPr>
          <w:rFonts w:hint="default" w:ascii="Times New Roman" w:hAnsi="Times New Roman" w:cs="Times New Roman"/>
          <w:b w:val="0"/>
          <w:color w:val="auto"/>
          <w:sz w:val="24"/>
          <w:szCs w:val="24"/>
        </w:rPr>
        <w:t>应做好所聘请临时工的安全管理和安全教育，增强安全意识，防止发生人身伤害和设备损坏事故，严格按规程、规范工作，承担因违规所造成事故的全部责任。临时工管理按《安全工作规定》等执行。</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lang w:eastAsia="zh-CN"/>
        </w:rPr>
        <w:t>投标方</w:t>
      </w:r>
      <w:r>
        <w:rPr>
          <w:rFonts w:hint="default" w:ascii="Times New Roman" w:hAnsi="Times New Roman" w:cs="Times New Roman"/>
          <w:b w:val="0"/>
          <w:color w:val="auto"/>
          <w:sz w:val="24"/>
          <w:szCs w:val="24"/>
        </w:rPr>
        <w:t>应制定</w:t>
      </w:r>
      <w:r>
        <w:rPr>
          <w:rFonts w:hint="default" w:ascii="Times New Roman" w:hAnsi="Times New Roman" w:cs="Times New Roman"/>
          <w:b w:val="0"/>
          <w:color w:val="auto"/>
          <w:sz w:val="24"/>
          <w:szCs w:val="24"/>
          <w:lang w:val="en-US" w:eastAsia="zh-CN"/>
        </w:rPr>
        <w:t>施工</w:t>
      </w:r>
      <w:r>
        <w:rPr>
          <w:rFonts w:hint="default" w:ascii="Times New Roman" w:hAnsi="Times New Roman" w:cs="Times New Roman"/>
          <w:b w:val="0"/>
          <w:color w:val="auto"/>
          <w:sz w:val="24"/>
          <w:szCs w:val="24"/>
        </w:rPr>
        <w:t>过程中的环境保护和劳动保护措施，合理处置各类废弃物，文明施工，清洁生产。</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lang w:val="en-US" w:eastAsia="zh-CN"/>
        </w:rPr>
        <w:t>施工</w:t>
      </w:r>
      <w:r>
        <w:rPr>
          <w:rFonts w:hint="default" w:ascii="Times New Roman" w:hAnsi="Times New Roman" w:cs="Times New Roman"/>
          <w:b w:val="0"/>
          <w:color w:val="auto"/>
          <w:sz w:val="24"/>
          <w:szCs w:val="24"/>
        </w:rPr>
        <w:t>人员到现场工作时，应注意现场的安全措施是否完整。</w:t>
      </w:r>
    </w:p>
    <w:p>
      <w:pPr>
        <w:pStyle w:val="7"/>
        <w:keepNext w:val="0"/>
        <w:keepLines w:val="0"/>
        <w:numPr>
          <w:ilvl w:val="4"/>
          <w:numId w:val="3"/>
        </w:numPr>
        <w:tabs>
          <w:tab w:val="left" w:pos="170"/>
          <w:tab w:val="left" w:pos="851"/>
        </w:tabs>
        <w:spacing w:before="0" w:after="0" w:line="360" w:lineRule="auto"/>
        <w:ind w:left="0" w:firstLine="0"/>
        <w:jc w:val="left"/>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lang w:val="en-US" w:eastAsia="zh-CN"/>
        </w:rPr>
        <w:t>施工</w:t>
      </w:r>
      <w:r>
        <w:rPr>
          <w:rFonts w:hint="default" w:ascii="Times New Roman" w:hAnsi="Times New Roman" w:cs="Times New Roman"/>
          <w:b w:val="0"/>
          <w:color w:val="auto"/>
          <w:sz w:val="24"/>
          <w:szCs w:val="24"/>
        </w:rPr>
        <w:t>前必须做好防高空坠落、防火、防爆、防尘、防毒、防触电等安全技术措施。</w:t>
      </w:r>
    </w:p>
    <w:p>
      <w:pPr>
        <w:pStyle w:val="7"/>
        <w:keepNext w:val="0"/>
        <w:keepLines w:val="0"/>
        <w:numPr>
          <w:ilvl w:val="4"/>
          <w:numId w:val="3"/>
        </w:numPr>
        <w:tabs>
          <w:tab w:val="left" w:pos="170"/>
          <w:tab w:val="left" w:pos="851"/>
        </w:tabs>
        <w:spacing w:before="0" w:after="0" w:line="360" w:lineRule="auto"/>
        <w:ind w:left="0" w:firstLine="0"/>
        <w:jc w:val="left"/>
        <w:rPr>
          <w:rFonts w:hint="default"/>
        </w:rPr>
      </w:pPr>
      <w:r>
        <w:rPr>
          <w:rFonts w:hint="default" w:ascii="Times New Roman" w:hAnsi="Times New Roman" w:cs="Times New Roman"/>
          <w:b w:val="0"/>
          <w:color w:val="auto"/>
          <w:sz w:val="24"/>
          <w:szCs w:val="24"/>
        </w:rPr>
        <w:t>施工前做好技术交底工作，施工中做好自检记录，做好所有施工的质量验收记录，特别是W、H点的记录。</w:t>
      </w:r>
      <w:r>
        <w:rPr>
          <w:rFonts w:hint="default" w:ascii="Times New Roman" w:hAnsi="Times New Roman" w:cs="Times New Roman"/>
          <w:b w:val="0"/>
          <w:color w:val="auto"/>
          <w:sz w:val="24"/>
          <w:szCs w:val="24"/>
          <w:lang w:eastAsia="zh-CN"/>
        </w:rPr>
        <w:t>投标方</w:t>
      </w:r>
      <w:r>
        <w:rPr>
          <w:rFonts w:hint="default" w:ascii="Times New Roman" w:hAnsi="Times New Roman" w:cs="Times New Roman"/>
          <w:b w:val="0"/>
          <w:color w:val="auto"/>
          <w:sz w:val="24"/>
          <w:szCs w:val="24"/>
        </w:rPr>
        <w:t>在</w:t>
      </w:r>
      <w:r>
        <w:rPr>
          <w:rFonts w:hint="eastAsia" w:ascii="Times New Roman" w:hAnsi="Times New Roman" w:cs="Times New Roman"/>
          <w:b w:val="0"/>
          <w:color w:val="auto"/>
          <w:sz w:val="24"/>
          <w:szCs w:val="24"/>
          <w:lang w:val="en-US" w:eastAsia="zh-CN"/>
        </w:rPr>
        <w:t>每一道工序</w:t>
      </w:r>
      <w:r>
        <w:rPr>
          <w:rFonts w:hint="default" w:ascii="Times New Roman" w:hAnsi="Times New Roman" w:cs="Times New Roman"/>
          <w:b w:val="0"/>
          <w:color w:val="auto"/>
          <w:sz w:val="24"/>
          <w:szCs w:val="24"/>
        </w:rPr>
        <w:t>完成一定工程量后及时通知</w:t>
      </w:r>
      <w:r>
        <w:rPr>
          <w:rFonts w:hint="default" w:ascii="Times New Roman" w:hAnsi="Times New Roman" w:cs="Times New Roman"/>
          <w:b w:val="0"/>
          <w:color w:val="auto"/>
          <w:sz w:val="24"/>
          <w:szCs w:val="24"/>
          <w:lang w:eastAsia="zh-CN"/>
        </w:rPr>
        <w:t>招标方</w:t>
      </w:r>
      <w:r>
        <w:rPr>
          <w:rFonts w:hint="default" w:ascii="Times New Roman" w:hAnsi="Times New Roman" w:cs="Times New Roman"/>
          <w:b w:val="0"/>
          <w:color w:val="auto"/>
          <w:sz w:val="24"/>
          <w:szCs w:val="24"/>
        </w:rPr>
        <w:t>共同进行过程质量检查</w:t>
      </w:r>
      <w:r>
        <w:rPr>
          <w:rFonts w:hint="default" w:ascii="Times New Roman" w:hAnsi="Times New Roman" w:cs="Times New Roman"/>
          <w:b w:val="0"/>
          <w:color w:val="auto"/>
          <w:sz w:val="24"/>
          <w:szCs w:val="24"/>
          <w:lang w:eastAsia="zh-CN"/>
        </w:rPr>
        <w:t>。</w:t>
      </w:r>
    </w:p>
    <w:p>
      <w:pPr>
        <w:pStyle w:val="7"/>
        <w:keepNext w:val="0"/>
        <w:keepLines w:val="0"/>
        <w:numPr>
          <w:ilvl w:val="4"/>
          <w:numId w:val="3"/>
        </w:numPr>
        <w:tabs>
          <w:tab w:val="left" w:pos="170"/>
          <w:tab w:val="left" w:pos="851"/>
        </w:tabs>
        <w:spacing w:before="0" w:after="0" w:line="360" w:lineRule="auto"/>
        <w:ind w:left="0" w:firstLine="0"/>
        <w:jc w:val="left"/>
        <w:rPr>
          <w:rFonts w:hint="default" w:ascii="Times New Roman" w:hAnsi="Times New Roman" w:cs="Times New Roman"/>
          <w:b w:val="0"/>
          <w:color w:val="auto"/>
          <w:sz w:val="24"/>
          <w:szCs w:val="24"/>
        </w:rPr>
      </w:pPr>
      <w:r>
        <w:rPr>
          <w:rFonts w:hint="eastAsia" w:ascii="Times New Roman" w:hAnsi="Times New Roman" w:cs="Times New Roman"/>
          <w:b w:val="0"/>
          <w:color w:val="auto"/>
          <w:sz w:val="24"/>
          <w:szCs w:val="24"/>
          <w:lang w:eastAsia="zh-CN"/>
        </w:rPr>
        <w:t>施工前应报送施工方案，经方案批准、技术交底后方可开展作业。不连续施工区域转移应告知招标方，得到允许后方可开展相关工作。施工中做好自检、互检和交接班检查记录，施工后做好所有施工过程中的质量验收记录。投标方在完成一定工程量后及时通知招标方共同进行过程质量检查。</w:t>
      </w:r>
    </w:p>
    <w:p>
      <w:pPr>
        <w:pStyle w:val="7"/>
        <w:keepNext w:val="0"/>
        <w:keepLines w:val="0"/>
        <w:numPr>
          <w:ilvl w:val="4"/>
          <w:numId w:val="3"/>
        </w:numPr>
        <w:tabs>
          <w:tab w:val="left" w:pos="170"/>
          <w:tab w:val="left" w:pos="851"/>
        </w:tabs>
        <w:spacing w:before="0" w:after="0" w:line="360" w:lineRule="auto"/>
        <w:ind w:left="0" w:firstLine="0"/>
        <w:jc w:val="left"/>
        <w:rPr>
          <w:rFonts w:hint="default" w:ascii="Times New Roman" w:hAnsi="Times New Roman" w:cs="Times New Roman"/>
          <w:b w:val="0"/>
          <w:color w:val="auto"/>
          <w:sz w:val="24"/>
          <w:szCs w:val="24"/>
        </w:rPr>
      </w:pPr>
      <w:r>
        <w:rPr>
          <w:rFonts w:hint="default" w:ascii="Times New Roman" w:hAnsi="Times New Roman" w:eastAsia="宋体" w:cs="Times New Roman"/>
          <w:b w:val="0"/>
          <w:color w:val="000000"/>
          <w:spacing w:val="0"/>
          <w:sz w:val="24"/>
          <w:szCs w:val="24"/>
          <w:lang w:val="en-US" w:eastAsia="zh-CN" w:bidi="ar-SA"/>
        </w:rPr>
        <w:t>脱硫系统</w:t>
      </w:r>
      <w:r>
        <w:rPr>
          <w:rFonts w:hint="eastAsia" w:cs="Times New Roman"/>
          <w:b w:val="0"/>
          <w:color w:val="000000"/>
          <w:spacing w:val="0"/>
          <w:sz w:val="24"/>
          <w:szCs w:val="24"/>
          <w:lang w:val="en-US" w:eastAsia="zh-CN" w:bidi="ar-SA"/>
        </w:rPr>
        <w:t>钢制</w:t>
      </w:r>
      <w:r>
        <w:rPr>
          <w:rFonts w:hint="default" w:ascii="Times New Roman" w:hAnsi="Times New Roman" w:eastAsia="宋体" w:cs="Times New Roman"/>
          <w:b w:val="0"/>
          <w:color w:val="000000"/>
          <w:spacing w:val="0"/>
          <w:sz w:val="24"/>
          <w:szCs w:val="24"/>
          <w:lang w:val="en-US" w:eastAsia="zh-CN" w:bidi="ar-SA"/>
        </w:rPr>
        <w:t>安全防护栏杆</w:t>
      </w:r>
      <w:r>
        <w:rPr>
          <w:rFonts w:hint="eastAsia" w:cs="Times New Roman"/>
          <w:b w:val="0"/>
          <w:color w:val="000000"/>
          <w:spacing w:val="0"/>
          <w:sz w:val="24"/>
          <w:szCs w:val="24"/>
          <w:lang w:val="en-US" w:eastAsia="zh-CN" w:bidi="ar-SA"/>
        </w:rPr>
        <w:t>、</w:t>
      </w:r>
      <w:r>
        <w:rPr>
          <w:rFonts w:hint="default" w:ascii="Times New Roman" w:hAnsi="Times New Roman" w:eastAsia="宋体" w:cs="Times New Roman"/>
          <w:b w:val="0"/>
          <w:color w:val="000000"/>
          <w:spacing w:val="0"/>
          <w:sz w:val="24"/>
          <w:szCs w:val="24"/>
          <w:lang w:val="en-US" w:eastAsia="zh-CN" w:bidi="ar-SA"/>
        </w:rPr>
        <w:t>平台</w:t>
      </w:r>
      <w:r>
        <w:rPr>
          <w:rFonts w:hint="eastAsia" w:cs="Times New Roman"/>
          <w:b w:val="0"/>
          <w:color w:val="000000"/>
          <w:spacing w:val="0"/>
          <w:sz w:val="24"/>
          <w:szCs w:val="24"/>
          <w:lang w:val="en-US" w:eastAsia="zh-CN" w:bidi="ar-SA"/>
        </w:rPr>
        <w:t>及斜梯（直梯）</w:t>
      </w:r>
      <w:r>
        <w:rPr>
          <w:rFonts w:hint="default" w:ascii="Times New Roman" w:hAnsi="Times New Roman" w:eastAsia="宋体" w:cs="Times New Roman"/>
          <w:b w:val="0"/>
          <w:color w:val="000000"/>
          <w:spacing w:val="0"/>
          <w:sz w:val="24"/>
          <w:szCs w:val="24"/>
          <w:lang w:val="en-US" w:eastAsia="zh-CN" w:bidi="ar-SA"/>
        </w:rPr>
        <w:t>等设施治理施工</w:t>
      </w:r>
      <w:r>
        <w:rPr>
          <w:rFonts w:hint="default" w:ascii="Times New Roman" w:hAnsi="Times New Roman" w:cs="Times New Roman"/>
          <w:b w:val="0"/>
          <w:color w:val="auto"/>
          <w:sz w:val="24"/>
          <w:szCs w:val="24"/>
          <w:lang w:val="en-US" w:eastAsia="zh-CN"/>
        </w:rPr>
        <w:t>必须在</w:t>
      </w:r>
      <w:r>
        <w:rPr>
          <w:rFonts w:hint="default" w:ascii="Times New Roman" w:hAnsi="Times New Roman" w:cs="Times New Roman"/>
          <w:b w:val="0"/>
          <w:color w:val="auto"/>
          <w:sz w:val="24"/>
          <w:szCs w:val="24"/>
        </w:rPr>
        <w:t>办理工作票后，方可进行施工。</w:t>
      </w:r>
    </w:p>
    <w:p>
      <w:pPr>
        <w:pStyle w:val="7"/>
        <w:keepNext w:val="0"/>
        <w:keepLines w:val="0"/>
        <w:numPr>
          <w:ilvl w:val="4"/>
          <w:numId w:val="3"/>
        </w:numPr>
        <w:tabs>
          <w:tab w:val="left" w:pos="170"/>
          <w:tab w:val="left" w:pos="851"/>
        </w:tabs>
        <w:spacing w:before="0" w:after="0" w:line="360" w:lineRule="auto"/>
        <w:ind w:left="0" w:firstLine="0"/>
        <w:jc w:val="left"/>
        <w:rPr>
          <w:rFonts w:hint="eastAsia" w:ascii="Times New Roman" w:hAnsi="Times New Roman" w:cs="Times New Roman"/>
          <w:b w:val="0"/>
          <w:color w:val="auto"/>
          <w:sz w:val="24"/>
          <w:szCs w:val="24"/>
          <w:lang w:val="en-US" w:eastAsia="zh-CN"/>
        </w:rPr>
      </w:pPr>
      <w:r>
        <w:rPr>
          <w:rFonts w:hint="eastAsia" w:ascii="Times New Roman" w:hAnsi="Times New Roman" w:cs="Times New Roman"/>
          <w:b w:val="0"/>
          <w:color w:val="auto"/>
          <w:sz w:val="24"/>
          <w:szCs w:val="24"/>
          <w:lang w:val="en-US" w:eastAsia="zh-CN"/>
        </w:rPr>
        <w:t>投标方应严格按照</w:t>
      </w:r>
      <w:r>
        <w:rPr>
          <w:rFonts w:hint="eastAsia" w:cs="Times New Roman"/>
          <w:b w:val="0"/>
          <w:color w:val="auto"/>
          <w:sz w:val="24"/>
          <w:szCs w:val="24"/>
          <w:highlight w:val="none"/>
          <w:lang w:val="en-US" w:eastAsia="zh-CN"/>
        </w:rPr>
        <w:t>第4条</w:t>
      </w:r>
      <w:r>
        <w:rPr>
          <w:rFonts w:hint="eastAsia" w:ascii="Times New Roman" w:hAnsi="Times New Roman" w:cs="Times New Roman"/>
          <w:b w:val="0"/>
          <w:color w:val="auto"/>
          <w:sz w:val="24"/>
          <w:szCs w:val="24"/>
          <w:lang w:val="en-US" w:eastAsia="zh-CN"/>
        </w:rPr>
        <w:t>所列</w:t>
      </w:r>
      <w:r>
        <w:rPr>
          <w:rFonts w:hint="eastAsia" w:cs="Times New Roman"/>
          <w:b w:val="0"/>
          <w:color w:val="auto"/>
          <w:sz w:val="24"/>
          <w:szCs w:val="24"/>
          <w:lang w:val="en-US" w:eastAsia="zh-CN"/>
        </w:rPr>
        <w:t>工作内容</w:t>
      </w:r>
      <w:r>
        <w:rPr>
          <w:rFonts w:hint="eastAsia" w:ascii="Times New Roman" w:hAnsi="Times New Roman" w:cs="Times New Roman"/>
          <w:b w:val="0"/>
          <w:color w:val="auto"/>
          <w:sz w:val="24"/>
          <w:szCs w:val="24"/>
          <w:lang w:val="en-US" w:eastAsia="zh-CN"/>
        </w:rPr>
        <w:t>进行</w:t>
      </w:r>
      <w:r>
        <w:rPr>
          <w:rFonts w:hint="eastAsia" w:cs="Times New Roman"/>
          <w:b w:val="0"/>
          <w:color w:val="auto"/>
          <w:sz w:val="24"/>
          <w:szCs w:val="24"/>
          <w:lang w:val="en-US" w:eastAsia="zh-CN"/>
        </w:rPr>
        <w:t>施工</w:t>
      </w:r>
      <w:r>
        <w:rPr>
          <w:rFonts w:hint="eastAsia" w:ascii="Times New Roman" w:hAnsi="Times New Roman" w:cs="Times New Roman"/>
          <w:b w:val="0"/>
          <w:color w:val="auto"/>
          <w:sz w:val="24"/>
          <w:szCs w:val="24"/>
          <w:lang w:val="en-US" w:eastAsia="zh-CN"/>
        </w:rPr>
        <w:t>，未经招标方生产技术部同意，不得随意扩大/缩小</w:t>
      </w:r>
      <w:r>
        <w:rPr>
          <w:rFonts w:hint="eastAsia" w:cs="Times New Roman"/>
          <w:b w:val="0"/>
          <w:color w:val="auto"/>
          <w:sz w:val="24"/>
          <w:szCs w:val="24"/>
          <w:lang w:val="en-US" w:eastAsia="zh-CN"/>
        </w:rPr>
        <w:t>施工</w:t>
      </w:r>
      <w:r>
        <w:rPr>
          <w:rFonts w:hint="eastAsia" w:ascii="Times New Roman" w:hAnsi="Times New Roman" w:cs="Times New Roman"/>
          <w:b w:val="0"/>
          <w:color w:val="auto"/>
          <w:sz w:val="24"/>
          <w:szCs w:val="24"/>
          <w:lang w:val="en-US" w:eastAsia="zh-CN"/>
        </w:rPr>
        <w:t>范围；否则</w:t>
      </w:r>
      <w:r>
        <w:rPr>
          <w:rFonts w:hint="eastAsia" w:ascii="Times New Roman" w:hAnsi="Times New Roman" w:cs="Times New Roman"/>
          <w:b w:val="0"/>
          <w:color w:val="auto"/>
          <w:sz w:val="24"/>
          <w:szCs w:val="24"/>
          <w:lang w:eastAsia="zh-CN"/>
        </w:rPr>
        <w:t>招标方将有权单方解除合同</w:t>
      </w:r>
      <w:r>
        <w:rPr>
          <w:rFonts w:hint="eastAsia" w:ascii="Times New Roman" w:hAnsi="Times New Roman" w:cs="Times New Roman"/>
          <w:b w:val="0"/>
          <w:color w:val="auto"/>
          <w:sz w:val="24"/>
          <w:szCs w:val="24"/>
          <w:lang w:val="en-US" w:eastAsia="zh-CN"/>
        </w:rPr>
        <w:t>并列入投标商黑名单</w:t>
      </w:r>
      <w:r>
        <w:rPr>
          <w:rFonts w:hint="eastAsia" w:cs="Times New Roman"/>
          <w:b w:val="0"/>
          <w:color w:val="auto"/>
          <w:sz w:val="24"/>
          <w:szCs w:val="24"/>
          <w:lang w:val="en-US" w:eastAsia="zh-CN"/>
        </w:rPr>
        <w:t>。</w:t>
      </w:r>
    </w:p>
    <w:p>
      <w:pPr>
        <w:pStyle w:val="7"/>
        <w:keepNext w:val="0"/>
        <w:keepLines w:val="0"/>
        <w:numPr>
          <w:ilvl w:val="4"/>
          <w:numId w:val="3"/>
        </w:numPr>
        <w:tabs>
          <w:tab w:val="left" w:pos="170"/>
          <w:tab w:val="left" w:pos="851"/>
        </w:tabs>
        <w:spacing w:before="0" w:after="0" w:line="360" w:lineRule="auto"/>
        <w:ind w:left="0" w:firstLine="0"/>
        <w:jc w:val="left"/>
        <w:rPr>
          <w:rFonts w:hint="eastAsia" w:ascii="Times New Roman" w:hAnsi="Times New Roman" w:cs="Times New Roman"/>
          <w:b w:val="0"/>
          <w:color w:val="auto"/>
          <w:sz w:val="24"/>
          <w:szCs w:val="24"/>
          <w:lang w:val="en-US" w:eastAsia="zh-CN"/>
        </w:rPr>
      </w:pPr>
      <w:r>
        <w:rPr>
          <w:rFonts w:hint="eastAsia" w:cs="Times New Roman"/>
          <w:b w:val="0"/>
          <w:color w:val="FF0000"/>
          <w:sz w:val="24"/>
          <w:szCs w:val="24"/>
          <w:lang w:val="en-US" w:eastAsia="zh-CN"/>
        </w:rPr>
        <w:t>投标</w:t>
      </w:r>
      <w:r>
        <w:rPr>
          <w:rFonts w:hint="eastAsia" w:ascii="Times New Roman" w:hAnsi="Times New Roman" w:cs="Times New Roman"/>
          <w:b w:val="0"/>
          <w:color w:val="FF0000"/>
          <w:sz w:val="24"/>
          <w:szCs w:val="24"/>
          <w:lang w:val="en-US" w:eastAsia="zh-CN"/>
        </w:rPr>
        <w:t>方进行现</w:t>
      </w:r>
      <w:bookmarkStart w:id="123" w:name="_GoBack"/>
      <w:bookmarkEnd w:id="123"/>
      <w:r>
        <w:rPr>
          <w:rFonts w:hint="eastAsia" w:ascii="Times New Roman" w:hAnsi="Times New Roman" w:cs="Times New Roman"/>
          <w:b w:val="0"/>
          <w:color w:val="FF0000"/>
          <w:sz w:val="24"/>
          <w:szCs w:val="24"/>
          <w:lang w:val="en-US" w:eastAsia="zh-CN"/>
        </w:rPr>
        <w:t>场作业</w:t>
      </w:r>
      <w:r>
        <w:rPr>
          <w:rFonts w:hint="eastAsia" w:cs="Times New Roman"/>
          <w:b w:val="0"/>
          <w:color w:val="FF0000"/>
          <w:sz w:val="24"/>
          <w:szCs w:val="24"/>
          <w:lang w:val="en-US" w:eastAsia="zh-CN"/>
        </w:rPr>
        <w:t>涉及到的</w:t>
      </w:r>
      <w:r>
        <w:rPr>
          <w:rFonts w:hint="eastAsia" w:ascii="Times New Roman" w:hAnsi="Times New Roman" w:cs="Times New Roman"/>
          <w:b w:val="0"/>
          <w:color w:val="FF0000"/>
          <w:sz w:val="24"/>
          <w:szCs w:val="24"/>
          <w:lang w:val="en-US" w:eastAsia="zh-CN"/>
        </w:rPr>
        <w:t>起重工、电焊工、架子工</w:t>
      </w:r>
      <w:r>
        <w:rPr>
          <w:rFonts w:hint="eastAsia" w:cs="Times New Roman"/>
          <w:b w:val="0"/>
          <w:color w:val="FF0000"/>
          <w:sz w:val="24"/>
          <w:szCs w:val="24"/>
          <w:lang w:val="en-US" w:eastAsia="zh-CN"/>
        </w:rPr>
        <w:t>、登高作业人员</w:t>
      </w:r>
      <w:r>
        <w:rPr>
          <w:rFonts w:hint="eastAsia" w:ascii="Times New Roman" w:hAnsi="Times New Roman" w:cs="Times New Roman"/>
          <w:b w:val="0"/>
          <w:color w:val="FF0000"/>
          <w:sz w:val="24"/>
          <w:szCs w:val="24"/>
          <w:lang w:val="en-US" w:eastAsia="zh-CN"/>
        </w:rPr>
        <w:t>等特种作业人员应持有相应的</w:t>
      </w:r>
      <w:r>
        <w:rPr>
          <w:rFonts w:hint="eastAsia" w:cs="Times New Roman"/>
          <w:b w:val="0"/>
          <w:color w:val="FF0000"/>
          <w:sz w:val="24"/>
          <w:szCs w:val="24"/>
          <w:lang w:val="en-US" w:eastAsia="zh-CN"/>
        </w:rPr>
        <w:t>有效</w:t>
      </w:r>
      <w:r>
        <w:rPr>
          <w:rFonts w:hint="eastAsia" w:ascii="Times New Roman" w:hAnsi="Times New Roman" w:cs="Times New Roman"/>
          <w:b w:val="0"/>
          <w:color w:val="FF0000"/>
          <w:sz w:val="24"/>
          <w:szCs w:val="24"/>
          <w:lang w:val="en-US" w:eastAsia="zh-CN"/>
        </w:rPr>
        <w:t>资质证书。使用的机具应符合有关安全和技术规定，并有合格的校验证书</w:t>
      </w:r>
      <w:r>
        <w:rPr>
          <w:rFonts w:hint="eastAsia" w:ascii="Times New Roman" w:hAnsi="Times New Roman" w:cs="Times New Roman"/>
          <w:b w:val="0"/>
          <w:color w:val="auto"/>
          <w:sz w:val="24"/>
          <w:szCs w:val="24"/>
          <w:lang w:val="en-US" w:eastAsia="zh-CN"/>
        </w:rPr>
        <w:t>。</w:t>
      </w:r>
    </w:p>
    <w:p>
      <w:pPr>
        <w:pStyle w:val="6"/>
        <w:keepNext w:val="0"/>
        <w:keepLines w:val="0"/>
        <w:numPr>
          <w:ilvl w:val="3"/>
          <w:numId w:val="3"/>
        </w:numPr>
        <w:tabs>
          <w:tab w:val="left" w:pos="567"/>
          <w:tab w:val="clear" w:pos="600"/>
        </w:tabs>
        <w:kinsoku w:val="0"/>
        <w:spacing w:before="163" w:beforeLines="50" w:after="163" w:afterLines="50" w:line="360" w:lineRule="auto"/>
        <w:ind w:left="0" w:firstLine="0"/>
        <w:jc w:val="left"/>
        <w:rPr>
          <w:rFonts w:hint="default" w:ascii="Times New Roman" w:hAnsi="Times New Roman" w:eastAsia="黑体" w:cs="Times New Roman"/>
          <w:b w:val="0"/>
          <w:color w:val="auto"/>
          <w:spacing w:val="0"/>
          <w:sz w:val="24"/>
          <w:szCs w:val="24"/>
        </w:rPr>
      </w:pPr>
      <w:r>
        <w:rPr>
          <w:rFonts w:hint="default" w:ascii="Times New Roman" w:hAnsi="Times New Roman" w:eastAsia="黑体" w:cs="Times New Roman"/>
          <w:b w:val="0"/>
          <w:color w:val="auto"/>
          <w:spacing w:val="0"/>
          <w:sz w:val="24"/>
          <w:szCs w:val="24"/>
          <w:lang w:val="en-US" w:eastAsia="zh-CN"/>
        </w:rPr>
        <w:t>钢制安全防护栏杆、平台及斜梯（直梯）等设施施工</w:t>
      </w:r>
      <w:r>
        <w:rPr>
          <w:rFonts w:hint="eastAsia" w:eastAsia="黑体" w:cs="Times New Roman"/>
          <w:b w:val="0"/>
          <w:color w:val="auto"/>
          <w:spacing w:val="0"/>
          <w:sz w:val="24"/>
          <w:szCs w:val="24"/>
          <w:lang w:val="en-US" w:eastAsia="zh-CN"/>
        </w:rPr>
        <w:t>技术要求</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lang w:val="en-US" w:eastAsia="zh-CN"/>
        </w:rPr>
        <w:t>所有</w:t>
      </w:r>
      <w:r>
        <w:rPr>
          <w:rFonts w:hint="eastAsia" w:cs="Times New Roman"/>
          <w:b w:val="0"/>
          <w:color w:val="000000"/>
          <w:spacing w:val="0"/>
          <w:sz w:val="24"/>
          <w:szCs w:val="24"/>
          <w:lang w:val="en-US" w:eastAsia="zh-CN" w:bidi="ar-SA"/>
        </w:rPr>
        <w:t>钢制</w:t>
      </w:r>
      <w:r>
        <w:rPr>
          <w:rFonts w:hint="default" w:ascii="Times New Roman" w:hAnsi="Times New Roman" w:eastAsia="宋体" w:cs="Times New Roman"/>
          <w:b w:val="0"/>
          <w:color w:val="000000"/>
          <w:spacing w:val="0"/>
          <w:sz w:val="24"/>
          <w:szCs w:val="24"/>
          <w:lang w:val="en-US" w:eastAsia="zh-CN" w:bidi="ar-SA"/>
        </w:rPr>
        <w:t>安全防护栏杆</w:t>
      </w:r>
      <w:r>
        <w:rPr>
          <w:rFonts w:hint="eastAsia" w:cs="Times New Roman"/>
          <w:b w:val="0"/>
          <w:color w:val="000000"/>
          <w:spacing w:val="0"/>
          <w:sz w:val="24"/>
          <w:szCs w:val="24"/>
          <w:lang w:val="en-US" w:eastAsia="zh-CN" w:bidi="ar-SA"/>
        </w:rPr>
        <w:t>、</w:t>
      </w:r>
      <w:r>
        <w:rPr>
          <w:rFonts w:hint="default" w:ascii="Times New Roman" w:hAnsi="Times New Roman" w:eastAsia="宋体" w:cs="Times New Roman"/>
          <w:b w:val="0"/>
          <w:color w:val="000000"/>
          <w:spacing w:val="0"/>
          <w:sz w:val="24"/>
          <w:szCs w:val="24"/>
          <w:lang w:val="en-US" w:eastAsia="zh-CN" w:bidi="ar-SA"/>
        </w:rPr>
        <w:t>平台</w:t>
      </w:r>
      <w:r>
        <w:rPr>
          <w:rFonts w:hint="eastAsia" w:cs="Times New Roman"/>
          <w:b w:val="0"/>
          <w:color w:val="000000"/>
          <w:spacing w:val="0"/>
          <w:sz w:val="24"/>
          <w:szCs w:val="24"/>
          <w:lang w:val="en-US" w:eastAsia="zh-CN" w:bidi="ar-SA"/>
        </w:rPr>
        <w:t>及斜梯（直梯）</w:t>
      </w:r>
      <w:r>
        <w:rPr>
          <w:rFonts w:hint="default" w:ascii="Times New Roman" w:hAnsi="Times New Roman" w:eastAsia="宋体" w:cs="Times New Roman"/>
          <w:b w:val="0"/>
          <w:color w:val="000000"/>
          <w:spacing w:val="0"/>
          <w:sz w:val="24"/>
          <w:szCs w:val="24"/>
          <w:lang w:val="en-US" w:eastAsia="zh-CN" w:bidi="ar-SA"/>
        </w:rPr>
        <w:t>等设施</w:t>
      </w:r>
      <w:r>
        <w:rPr>
          <w:rFonts w:hint="default" w:ascii="Times New Roman" w:hAnsi="Times New Roman" w:cs="Times New Roman"/>
          <w:b w:val="0"/>
          <w:color w:val="auto"/>
          <w:sz w:val="24"/>
          <w:szCs w:val="24"/>
          <w:lang w:val="en-US" w:eastAsia="zh-CN"/>
        </w:rPr>
        <w:t>更换、补强</w:t>
      </w:r>
      <w:r>
        <w:rPr>
          <w:rFonts w:hint="eastAsia" w:cs="Times New Roman"/>
          <w:b w:val="0"/>
          <w:color w:val="auto"/>
          <w:sz w:val="24"/>
          <w:szCs w:val="24"/>
          <w:lang w:val="en-US" w:eastAsia="zh-CN"/>
        </w:rPr>
        <w:t>等</w:t>
      </w:r>
      <w:r>
        <w:rPr>
          <w:rFonts w:hint="default" w:ascii="Times New Roman" w:hAnsi="Times New Roman" w:cs="Times New Roman"/>
          <w:b w:val="0"/>
          <w:color w:val="auto"/>
          <w:sz w:val="24"/>
          <w:szCs w:val="24"/>
          <w:lang w:val="en-US" w:eastAsia="zh-CN"/>
        </w:rPr>
        <w:t>工作必须满足现行标准规范、原设计要求，若施工范围内存在装置性违章的情况，按照标准规范整改完善。</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lang w:val="en-US" w:eastAsia="zh-CN"/>
        </w:rPr>
        <w:t>除特殊注明外，</w:t>
      </w:r>
      <w:r>
        <w:rPr>
          <w:rFonts w:hint="eastAsia" w:cs="Times New Roman"/>
          <w:b w:val="0"/>
          <w:color w:val="000000"/>
          <w:spacing w:val="0"/>
          <w:sz w:val="24"/>
          <w:szCs w:val="24"/>
          <w:lang w:val="en-US" w:eastAsia="zh-CN" w:bidi="ar-SA"/>
        </w:rPr>
        <w:t>钢制</w:t>
      </w:r>
      <w:r>
        <w:rPr>
          <w:rFonts w:hint="default" w:ascii="Times New Roman" w:hAnsi="Times New Roman" w:eastAsia="宋体" w:cs="Times New Roman"/>
          <w:b w:val="0"/>
          <w:color w:val="000000"/>
          <w:spacing w:val="0"/>
          <w:sz w:val="24"/>
          <w:szCs w:val="24"/>
          <w:lang w:val="en-US" w:eastAsia="zh-CN" w:bidi="ar-SA"/>
        </w:rPr>
        <w:t>安全防护栏杆</w:t>
      </w:r>
      <w:r>
        <w:rPr>
          <w:rFonts w:hint="eastAsia" w:cs="Times New Roman"/>
          <w:b w:val="0"/>
          <w:color w:val="000000"/>
          <w:spacing w:val="0"/>
          <w:sz w:val="24"/>
          <w:szCs w:val="24"/>
          <w:lang w:val="en-US" w:eastAsia="zh-CN" w:bidi="ar-SA"/>
        </w:rPr>
        <w:t>、</w:t>
      </w:r>
      <w:r>
        <w:rPr>
          <w:rFonts w:hint="default" w:ascii="Times New Roman" w:hAnsi="Times New Roman" w:eastAsia="宋体" w:cs="Times New Roman"/>
          <w:b w:val="0"/>
          <w:color w:val="000000"/>
          <w:spacing w:val="0"/>
          <w:sz w:val="24"/>
          <w:szCs w:val="24"/>
          <w:lang w:val="en-US" w:eastAsia="zh-CN" w:bidi="ar-SA"/>
        </w:rPr>
        <w:t>平台</w:t>
      </w:r>
      <w:r>
        <w:rPr>
          <w:rFonts w:hint="eastAsia" w:cs="Times New Roman"/>
          <w:b w:val="0"/>
          <w:color w:val="000000"/>
          <w:spacing w:val="0"/>
          <w:sz w:val="24"/>
          <w:szCs w:val="24"/>
          <w:lang w:val="en-US" w:eastAsia="zh-CN" w:bidi="ar-SA"/>
        </w:rPr>
        <w:t>及斜梯（直梯）</w:t>
      </w:r>
      <w:r>
        <w:rPr>
          <w:rFonts w:hint="default" w:ascii="Times New Roman" w:hAnsi="Times New Roman" w:eastAsia="宋体" w:cs="Times New Roman"/>
          <w:b w:val="0"/>
          <w:color w:val="000000"/>
          <w:spacing w:val="0"/>
          <w:sz w:val="24"/>
          <w:szCs w:val="24"/>
          <w:lang w:val="en-US" w:eastAsia="zh-CN" w:bidi="ar-SA"/>
        </w:rPr>
        <w:t>等设施</w:t>
      </w:r>
      <w:r>
        <w:rPr>
          <w:rFonts w:hint="default" w:ascii="Times New Roman" w:hAnsi="Times New Roman" w:cs="Times New Roman"/>
          <w:b w:val="0"/>
          <w:color w:val="auto"/>
          <w:sz w:val="24"/>
          <w:szCs w:val="24"/>
          <w:lang w:val="en-US" w:eastAsia="zh-CN"/>
        </w:rPr>
        <w:t>均采用焊接连接。焊接应符合《钢结构工程施工质量验收标准》（GB 50205-2020）要求。</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lang w:val="en-US" w:eastAsia="zh-CN"/>
        </w:rPr>
        <w:t>更换、补强的</w:t>
      </w:r>
      <w:r>
        <w:rPr>
          <w:rFonts w:hint="eastAsia" w:cs="Times New Roman"/>
          <w:b w:val="0"/>
          <w:color w:val="000000"/>
          <w:spacing w:val="0"/>
          <w:sz w:val="24"/>
          <w:szCs w:val="24"/>
          <w:lang w:val="en-US" w:eastAsia="zh-CN" w:bidi="ar-SA"/>
        </w:rPr>
        <w:t>钢制</w:t>
      </w:r>
      <w:r>
        <w:rPr>
          <w:rFonts w:hint="default" w:ascii="Times New Roman" w:hAnsi="Times New Roman" w:eastAsia="宋体" w:cs="Times New Roman"/>
          <w:b w:val="0"/>
          <w:color w:val="000000"/>
          <w:spacing w:val="0"/>
          <w:sz w:val="24"/>
          <w:szCs w:val="24"/>
          <w:lang w:val="en-US" w:eastAsia="zh-CN" w:bidi="ar-SA"/>
        </w:rPr>
        <w:t>安全防护栏杆</w:t>
      </w:r>
      <w:r>
        <w:rPr>
          <w:rFonts w:hint="eastAsia" w:cs="Times New Roman"/>
          <w:b w:val="0"/>
          <w:color w:val="000000"/>
          <w:spacing w:val="0"/>
          <w:sz w:val="24"/>
          <w:szCs w:val="24"/>
          <w:lang w:val="en-US" w:eastAsia="zh-CN" w:bidi="ar-SA"/>
        </w:rPr>
        <w:t>、</w:t>
      </w:r>
      <w:r>
        <w:rPr>
          <w:rFonts w:hint="default" w:ascii="Times New Roman" w:hAnsi="Times New Roman" w:eastAsia="宋体" w:cs="Times New Roman"/>
          <w:b w:val="0"/>
          <w:color w:val="000000"/>
          <w:spacing w:val="0"/>
          <w:sz w:val="24"/>
          <w:szCs w:val="24"/>
          <w:lang w:val="en-US" w:eastAsia="zh-CN" w:bidi="ar-SA"/>
        </w:rPr>
        <w:t>平台</w:t>
      </w:r>
      <w:r>
        <w:rPr>
          <w:rFonts w:hint="eastAsia" w:cs="Times New Roman"/>
          <w:b w:val="0"/>
          <w:color w:val="000000"/>
          <w:spacing w:val="0"/>
          <w:sz w:val="24"/>
          <w:szCs w:val="24"/>
          <w:lang w:val="en-US" w:eastAsia="zh-CN" w:bidi="ar-SA"/>
        </w:rPr>
        <w:t>及斜梯（直梯）</w:t>
      </w:r>
      <w:r>
        <w:rPr>
          <w:rFonts w:hint="default" w:ascii="Times New Roman" w:hAnsi="Times New Roman" w:eastAsia="宋体" w:cs="Times New Roman"/>
          <w:b w:val="0"/>
          <w:color w:val="000000"/>
          <w:spacing w:val="0"/>
          <w:sz w:val="24"/>
          <w:szCs w:val="24"/>
          <w:lang w:val="en-US" w:eastAsia="zh-CN" w:bidi="ar-SA"/>
        </w:rPr>
        <w:t>等设施</w:t>
      </w:r>
      <w:r>
        <w:rPr>
          <w:rFonts w:hint="default" w:ascii="Times New Roman" w:hAnsi="Times New Roman" w:cs="Times New Roman"/>
          <w:b w:val="0"/>
          <w:color w:val="auto"/>
          <w:sz w:val="24"/>
          <w:szCs w:val="24"/>
          <w:lang w:val="en-US" w:eastAsia="zh-CN"/>
        </w:rPr>
        <w:t>所有构件表面应光滑。安装后不应有扭曲、歪斜、变形等缺陷。</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lang w:val="en-US" w:eastAsia="zh-CN"/>
        </w:rPr>
        <w:t>平台防护栏杆应采用包括扶手（顶部栏杆）、中间栏杆和立柱的结构形式或采用其他等效的结构形式。</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lang w:val="en-US" w:eastAsia="zh-CN"/>
        </w:rPr>
      </w:pPr>
      <w:r>
        <w:rPr>
          <w:rFonts w:hint="default" w:ascii="Times New Roman" w:hAnsi="Times New Roman" w:cs="Times New Roman"/>
          <w:b w:val="0"/>
          <w:color w:val="auto"/>
          <w:sz w:val="24"/>
          <w:szCs w:val="24"/>
          <w:lang w:val="en-US" w:eastAsia="zh-CN"/>
        </w:rPr>
        <w:t>当平台、通道及作业场所距基准面高度小于2m时，防护栏杆高度应不低于900mm；在距基准面高度≥2m并＜20m的平台、通道及作业场所的防护栏杆高度应不低于1050mm；在距基准面高度≥20m的平台、通道及作业场所的防护栏杆高度应不低于1200mm.</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lang w:val="en-US" w:eastAsia="zh-CN"/>
        </w:rPr>
      </w:pPr>
      <w:r>
        <w:rPr>
          <w:rFonts w:hint="default" w:ascii="Times New Roman" w:hAnsi="Times New Roman" w:cs="Times New Roman"/>
          <w:b w:val="0"/>
          <w:color w:val="auto"/>
          <w:sz w:val="24"/>
          <w:szCs w:val="24"/>
          <w:lang w:val="en-US" w:eastAsia="zh-CN"/>
        </w:rPr>
        <w:t>扶手末端应以曲折端结束，可以转向支撑墙，或转向中间栏杆，或转向立柱，或布置成避免扶手端突出结构。</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lang w:val="en-US" w:eastAsia="zh-CN"/>
        </w:rPr>
      </w:pPr>
      <w:r>
        <w:rPr>
          <w:rFonts w:hint="default" w:ascii="Times New Roman" w:hAnsi="Times New Roman" w:cs="Times New Roman"/>
          <w:b w:val="0"/>
          <w:color w:val="auto"/>
          <w:sz w:val="24"/>
          <w:szCs w:val="24"/>
          <w:lang w:val="en-US" w:eastAsia="zh-CN"/>
        </w:rPr>
        <w:t>扶手应采用钢管，外径应不小于30mm、不大于50mm。</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lang w:val="en-US" w:eastAsia="zh-CN"/>
        </w:rPr>
      </w:pPr>
      <w:r>
        <w:rPr>
          <w:rFonts w:hint="default" w:ascii="Times New Roman" w:hAnsi="Times New Roman" w:cs="Times New Roman"/>
          <w:b w:val="0"/>
          <w:color w:val="auto"/>
          <w:sz w:val="24"/>
          <w:szCs w:val="24"/>
          <w:lang w:val="en-US" w:eastAsia="zh-CN"/>
        </w:rPr>
        <w:t>在扶手和踢脚板之间，应至少设置一道中间栏杆。中间栏杆应采用不小于25mm×4mm扁钢或直径16mm的圆钢。中间栏杆（横杆）与上下构件间形成的间隙间距不大于500mm。</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lang w:val="en-US" w:eastAsia="zh-CN"/>
        </w:rPr>
      </w:pPr>
      <w:r>
        <w:rPr>
          <w:rFonts w:hint="default" w:ascii="Times New Roman" w:hAnsi="Times New Roman" w:cs="Times New Roman"/>
          <w:b w:val="0"/>
          <w:color w:val="auto"/>
          <w:sz w:val="24"/>
          <w:szCs w:val="24"/>
          <w:lang w:val="en-US" w:eastAsia="zh-CN"/>
        </w:rPr>
        <w:t>防护栏杆端部应设置立柱或确保与建筑物或其他固定结构牢固连接，立柱间距应不大于1000mm。立柱不应在踢脚板上安装，除非踢脚板为承载的构件。立柱宜采用不小于50mm×50mm×4mm角钢或外径30mm⁓50mm钢管。</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lang w:val="en-US" w:eastAsia="zh-CN"/>
        </w:rPr>
      </w:pPr>
      <w:r>
        <w:rPr>
          <w:rFonts w:hint="default" w:ascii="Times New Roman" w:hAnsi="Times New Roman" w:cs="Times New Roman"/>
          <w:b w:val="0"/>
          <w:color w:val="auto"/>
          <w:sz w:val="24"/>
          <w:szCs w:val="24"/>
          <w:lang w:val="en-US" w:eastAsia="zh-CN"/>
        </w:rPr>
        <w:t>踢脚板顶部在平台地面之上高度应不小于100mm，其底部距平台地面应不大于10mm。踢脚板宜采用不小于100mm×2mm的钢板制造。</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lang w:val="en-US" w:eastAsia="zh-CN"/>
        </w:rPr>
      </w:pPr>
      <w:r>
        <w:rPr>
          <w:rFonts w:hint="default" w:ascii="Times New Roman" w:hAnsi="Times New Roman" w:cs="Times New Roman"/>
          <w:b w:val="0"/>
          <w:color w:val="auto"/>
          <w:sz w:val="24"/>
          <w:szCs w:val="24"/>
          <w:lang w:val="en-US" w:eastAsia="zh-CN"/>
        </w:rPr>
        <w:t>平台应安装在牢固可靠的的支撑结构上，并与其刚性连接；梯间平台不应悬挂在梯段上。</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lang w:val="en-US" w:eastAsia="zh-CN"/>
        </w:rPr>
      </w:pPr>
      <w:r>
        <w:rPr>
          <w:rFonts w:hint="default" w:ascii="Times New Roman" w:hAnsi="Times New Roman" w:cs="Times New Roman"/>
          <w:b w:val="0"/>
          <w:color w:val="auto"/>
          <w:sz w:val="24"/>
          <w:szCs w:val="24"/>
          <w:lang w:val="en-US" w:eastAsia="zh-CN"/>
        </w:rPr>
        <w:t>更换、补强的</w:t>
      </w:r>
      <w:r>
        <w:rPr>
          <w:rFonts w:hint="eastAsia" w:cs="Times New Roman"/>
          <w:b w:val="0"/>
          <w:color w:val="000000"/>
          <w:spacing w:val="0"/>
          <w:sz w:val="24"/>
          <w:szCs w:val="24"/>
          <w:lang w:val="en-US" w:eastAsia="zh-CN" w:bidi="ar-SA"/>
        </w:rPr>
        <w:t>钢制</w:t>
      </w:r>
      <w:r>
        <w:rPr>
          <w:rFonts w:hint="default" w:ascii="Times New Roman" w:hAnsi="Times New Roman" w:eastAsia="宋体" w:cs="Times New Roman"/>
          <w:b w:val="0"/>
          <w:color w:val="000000"/>
          <w:spacing w:val="0"/>
          <w:sz w:val="24"/>
          <w:szCs w:val="24"/>
          <w:lang w:val="en-US" w:eastAsia="zh-CN" w:bidi="ar-SA"/>
        </w:rPr>
        <w:t>安全防护栏杆</w:t>
      </w:r>
      <w:r>
        <w:rPr>
          <w:rFonts w:hint="eastAsia" w:cs="Times New Roman"/>
          <w:b w:val="0"/>
          <w:color w:val="000000"/>
          <w:spacing w:val="0"/>
          <w:sz w:val="24"/>
          <w:szCs w:val="24"/>
          <w:lang w:val="en-US" w:eastAsia="zh-CN" w:bidi="ar-SA"/>
        </w:rPr>
        <w:t>、</w:t>
      </w:r>
      <w:r>
        <w:rPr>
          <w:rFonts w:hint="default" w:ascii="Times New Roman" w:hAnsi="Times New Roman" w:eastAsia="宋体" w:cs="Times New Roman"/>
          <w:b w:val="0"/>
          <w:color w:val="000000"/>
          <w:spacing w:val="0"/>
          <w:sz w:val="24"/>
          <w:szCs w:val="24"/>
          <w:lang w:val="en-US" w:eastAsia="zh-CN" w:bidi="ar-SA"/>
        </w:rPr>
        <w:t>平台</w:t>
      </w:r>
      <w:r>
        <w:rPr>
          <w:rFonts w:hint="eastAsia" w:cs="Times New Roman"/>
          <w:b w:val="0"/>
          <w:color w:val="000000"/>
          <w:spacing w:val="0"/>
          <w:sz w:val="24"/>
          <w:szCs w:val="24"/>
          <w:lang w:val="en-US" w:eastAsia="zh-CN" w:bidi="ar-SA"/>
        </w:rPr>
        <w:t>及斜梯（直梯）</w:t>
      </w:r>
      <w:r>
        <w:rPr>
          <w:rFonts w:hint="default" w:ascii="Times New Roman" w:hAnsi="Times New Roman" w:eastAsia="宋体" w:cs="Times New Roman"/>
          <w:b w:val="0"/>
          <w:color w:val="000000"/>
          <w:spacing w:val="0"/>
          <w:sz w:val="24"/>
          <w:szCs w:val="24"/>
          <w:lang w:val="en-US" w:eastAsia="zh-CN" w:bidi="ar-SA"/>
        </w:rPr>
        <w:t>等设施</w:t>
      </w:r>
      <w:r>
        <w:rPr>
          <w:rFonts w:hint="default" w:ascii="Times New Roman" w:hAnsi="Times New Roman" w:cs="Times New Roman"/>
          <w:b w:val="0"/>
          <w:color w:val="auto"/>
          <w:sz w:val="24"/>
          <w:szCs w:val="24"/>
          <w:lang w:val="en-US" w:eastAsia="zh-CN"/>
        </w:rPr>
        <w:t>施工时，不得损坏吸收塔、烟道内部的防腐层。</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lang w:val="en-US" w:eastAsia="zh-CN"/>
        </w:rPr>
      </w:pPr>
      <w:r>
        <w:rPr>
          <w:rFonts w:hint="default" w:ascii="Times New Roman" w:hAnsi="Times New Roman" w:cs="Times New Roman"/>
          <w:b w:val="0"/>
          <w:color w:val="auto"/>
          <w:sz w:val="24"/>
          <w:szCs w:val="24"/>
          <w:lang w:val="en-US" w:eastAsia="zh-CN"/>
        </w:rPr>
        <w:t>扶梯安装在平台上，与平台焊接，并必须有足够的稳定性。</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rPr>
      </w:pPr>
      <w:r>
        <w:rPr>
          <w:rFonts w:hint="default" w:ascii="Times New Roman" w:hAnsi="Times New Roman" w:cs="Times New Roman"/>
          <w:b w:val="0"/>
          <w:color w:val="auto"/>
          <w:sz w:val="24"/>
          <w:szCs w:val="24"/>
          <w:lang w:val="en-US" w:eastAsia="zh-CN"/>
        </w:rPr>
        <w:t xml:space="preserve"> 在同一梯段所有踏板间距应相同。踏板间距宜为225mm⁓255mm。顶部踏板的上表面应与平台平面一致，踏板与平台间无间隙。</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lang w:val="en-US" w:eastAsia="zh-CN"/>
        </w:rPr>
        <w:t>在平台、通道或工作面上可能使用工具、机器部件或物品的场合，应在所有敞开边缘设置带踢脚板的防护栏杆。</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lang w:val="en-US" w:eastAsia="zh-CN"/>
        </w:rPr>
        <w:t>更换、制作平台时全部采用格栅板平台。</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lang w:val="en-US" w:eastAsia="zh-CN"/>
        </w:rPr>
        <w:t>单段直梯高宜不大于10m，攀登高度高度大于10m时应采用多段梯，梯段水平交错布置，并设梯间平台平台的垂直间距宜为6m。单段直梯及多段直梯高均应不大于15m。</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lang w:val="en-US" w:eastAsia="zh-CN"/>
        </w:rPr>
        <w:t>直梯梯段高度大于3m时应设置安全护笼。直梯单梯段高度大于7m时，应设置安全护笼。当攀登高度小于7m，但直梯顶部在地面、或屋顶之上大于7m时，也应设置安全护笼</w:t>
      </w:r>
      <w:r>
        <w:rPr>
          <w:rFonts w:hint="eastAsia" w:cs="Times New Roman"/>
          <w:b w:val="0"/>
          <w:color w:val="auto"/>
          <w:sz w:val="24"/>
          <w:szCs w:val="24"/>
          <w:lang w:val="en-US" w:eastAsia="zh-CN"/>
        </w:rPr>
        <w:t>。</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rPr>
      </w:pPr>
      <w:r>
        <w:rPr>
          <w:rFonts w:hint="eastAsia" w:cs="Times New Roman"/>
          <w:b w:val="0"/>
          <w:color w:val="auto"/>
          <w:sz w:val="24"/>
          <w:szCs w:val="24"/>
          <w:lang w:val="en-US" w:eastAsia="zh-CN"/>
        </w:rPr>
        <w:t>当在雨天</w:t>
      </w:r>
      <w:r>
        <w:rPr>
          <w:rFonts w:hint="default" w:ascii="Times New Roman" w:hAnsi="Times New Roman" w:cs="Times New Roman"/>
          <w:b w:val="0"/>
          <w:color w:val="auto"/>
          <w:sz w:val="24"/>
          <w:szCs w:val="24"/>
          <w:lang w:val="en-US" w:eastAsia="zh-CN"/>
        </w:rPr>
        <w:t>下焊接时，需有适当的保护措施方可施</w:t>
      </w:r>
      <w:r>
        <w:rPr>
          <w:rFonts w:hint="eastAsia" w:cs="Times New Roman"/>
          <w:b w:val="0"/>
          <w:color w:val="auto"/>
          <w:sz w:val="24"/>
          <w:szCs w:val="24"/>
          <w:lang w:val="en-US" w:eastAsia="zh-CN"/>
        </w:rPr>
        <w:t>焊</w:t>
      </w:r>
      <w:r>
        <w:rPr>
          <w:rFonts w:hint="default" w:ascii="Times New Roman" w:hAnsi="Times New Roman" w:cs="Times New Roman"/>
          <w:b w:val="0"/>
          <w:color w:val="auto"/>
          <w:sz w:val="24"/>
          <w:szCs w:val="24"/>
          <w:lang w:val="en-US" w:eastAsia="zh-CN"/>
        </w:rPr>
        <w:t>。</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rPr>
      </w:pPr>
      <w:r>
        <w:rPr>
          <w:rFonts w:hint="eastAsia" w:cs="Times New Roman"/>
          <w:b w:val="0"/>
          <w:color w:val="auto"/>
          <w:sz w:val="24"/>
          <w:szCs w:val="24"/>
          <w:lang w:val="en-US" w:eastAsia="zh-CN"/>
        </w:rPr>
        <w:t>支架在立柱上可以正面焊接，也可以侧面焊接。侧面焊接的水平槽钢搭接长度采用100 mm。与已承重的钢柱和钢梁焊接时应注意，不允许因焊接的热量导致钢柱和钢粱变形，应缓慢而断续地施焊，减少焊接热量的影响。</w:t>
      </w:r>
    </w:p>
    <w:p>
      <w:pPr>
        <w:pStyle w:val="7"/>
        <w:keepNext w:val="0"/>
        <w:keepLines w:val="0"/>
        <w:numPr>
          <w:ilvl w:val="4"/>
          <w:numId w:val="3"/>
        </w:numPr>
        <w:tabs>
          <w:tab w:val="left" w:pos="170"/>
          <w:tab w:val="left" w:pos="840"/>
        </w:tabs>
        <w:spacing w:before="0" w:after="0" w:line="360" w:lineRule="auto"/>
        <w:ind w:left="0" w:firstLine="0"/>
        <w:jc w:val="left"/>
        <w:rPr>
          <w:rFonts w:hint="eastAsia" w:cs="Times New Roman"/>
          <w:b w:val="0"/>
          <w:color w:val="auto"/>
          <w:sz w:val="24"/>
          <w:szCs w:val="24"/>
          <w:lang w:val="zh-CN" w:eastAsia="zh-CN"/>
        </w:rPr>
      </w:pPr>
      <w:r>
        <w:rPr>
          <w:rFonts w:hint="eastAsia" w:cs="Times New Roman"/>
          <w:b w:val="0"/>
          <w:color w:val="auto"/>
          <w:sz w:val="24"/>
          <w:szCs w:val="24"/>
          <w:lang w:val="zh-CN" w:eastAsia="zh-CN"/>
        </w:rPr>
        <w:t>焊缝的强度应不低于被焊件的等效设计强度，焊缝高度宜等于被焊件最小厚度。可采用周焊、双面焊、单面焊或断续焊等方式．当焊缝长度不足时，可加补强板。</w:t>
      </w:r>
    </w:p>
    <w:p>
      <w:pPr>
        <w:pStyle w:val="7"/>
        <w:keepNext w:val="0"/>
        <w:keepLines w:val="0"/>
        <w:numPr>
          <w:ilvl w:val="4"/>
          <w:numId w:val="3"/>
        </w:numPr>
        <w:tabs>
          <w:tab w:val="left" w:pos="170"/>
          <w:tab w:val="left" w:pos="840"/>
        </w:tabs>
        <w:spacing w:before="0" w:after="0" w:line="360" w:lineRule="auto"/>
        <w:ind w:left="0" w:firstLine="0"/>
        <w:jc w:val="left"/>
        <w:rPr>
          <w:rFonts w:hint="default" w:cs="Times New Roman"/>
          <w:b w:val="0"/>
          <w:color w:val="auto"/>
          <w:sz w:val="24"/>
          <w:szCs w:val="24"/>
          <w:lang w:val="en-US" w:eastAsia="zh-CN"/>
        </w:rPr>
      </w:pPr>
      <w:r>
        <w:rPr>
          <w:rFonts w:hint="eastAsia" w:cs="Times New Roman"/>
          <w:b w:val="0"/>
          <w:color w:val="auto"/>
          <w:sz w:val="24"/>
          <w:szCs w:val="24"/>
          <w:highlight w:val="none"/>
          <w:lang w:val="en-US" w:eastAsia="zh-CN"/>
        </w:rPr>
        <w:t>直梯踏棍与梯梁的焊接：除两端需全焊固定外，高度小于3000 mm时，中间的一个踏棍需全焊；高度大于3000mm时：每5个梯级的第一个需全焊固定；其余梯级踏棍与梯梁可点焊固定</w:t>
      </w:r>
      <w:r>
        <w:rPr>
          <w:rFonts w:hint="eastAsia" w:cs="Times New Roman"/>
          <w:b w:val="0"/>
          <w:color w:val="auto"/>
          <w:sz w:val="24"/>
          <w:szCs w:val="24"/>
          <w:lang w:val="en-US" w:eastAsia="zh-CN"/>
        </w:rPr>
        <w:t>。</w:t>
      </w:r>
    </w:p>
    <w:p>
      <w:pPr>
        <w:pStyle w:val="7"/>
        <w:keepNext w:val="0"/>
        <w:keepLines w:val="0"/>
        <w:numPr>
          <w:ilvl w:val="4"/>
          <w:numId w:val="3"/>
        </w:numPr>
        <w:tabs>
          <w:tab w:val="left" w:pos="170"/>
          <w:tab w:val="left" w:pos="840"/>
        </w:tabs>
        <w:spacing w:before="0" w:after="0" w:line="360" w:lineRule="auto"/>
        <w:ind w:left="0" w:firstLine="0"/>
        <w:jc w:val="left"/>
        <w:rPr>
          <w:rFonts w:hint="default" w:cs="Times New Roman"/>
          <w:b w:val="0"/>
          <w:color w:val="auto"/>
          <w:sz w:val="24"/>
          <w:szCs w:val="24"/>
          <w:lang w:val="en-US" w:eastAsia="zh-CN"/>
        </w:rPr>
      </w:pPr>
      <w:r>
        <w:rPr>
          <w:rFonts w:hint="eastAsia" w:cs="Times New Roman"/>
          <w:b w:val="0"/>
          <w:color w:val="auto"/>
          <w:sz w:val="24"/>
          <w:szCs w:val="24"/>
          <w:lang w:val="en-US" w:eastAsia="zh-CN"/>
        </w:rPr>
        <w:t>平台框架槽钢与槽钢、角钢与角钢、槽钢与角钢的连接，应按锁口尺寸进行焊接。</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lang w:val="en-US" w:eastAsia="zh-CN"/>
        </w:rPr>
      </w:pPr>
      <w:r>
        <w:rPr>
          <w:rFonts w:hint="default" w:ascii="Times New Roman" w:hAnsi="Times New Roman" w:cs="Times New Roman"/>
          <w:b w:val="0"/>
          <w:color w:val="auto"/>
          <w:sz w:val="24"/>
          <w:szCs w:val="24"/>
          <w:lang w:val="en-US" w:eastAsia="zh-CN"/>
        </w:rPr>
        <w:t>本技术规范书未对施工内容逐项要求，未提及到的部分应参照国家标准、行业标准执行。如钢制直梯的施工应满足《固定式钢梯及平台安全要求 第1部分：钢直梯》（GB 4053.1-2009）等相关标准的要求；钢制斜梯的施工要求应满足《固定式钢梯及平台安全要求 第2部分：钢斜梯》（GB 4053.2-2009）等相关标准的要求；钢制防护栏杆及平台的施工应满足《固定式钢梯及平台安全要求 第3部分：工业防护栏杆及钢平台》（GB 4053.3-2009）等相关标准的要求。</w:t>
      </w:r>
    </w:p>
    <w:p>
      <w:pPr>
        <w:pStyle w:val="6"/>
        <w:keepNext w:val="0"/>
        <w:keepLines w:val="0"/>
        <w:numPr>
          <w:ilvl w:val="3"/>
          <w:numId w:val="3"/>
        </w:numPr>
        <w:tabs>
          <w:tab w:val="left" w:pos="567"/>
          <w:tab w:val="clear" w:pos="600"/>
        </w:tabs>
        <w:kinsoku w:val="0"/>
        <w:spacing w:before="163" w:beforeLines="50" w:after="163" w:afterLines="50" w:line="360" w:lineRule="auto"/>
        <w:ind w:left="0" w:firstLine="0"/>
        <w:jc w:val="left"/>
        <w:rPr>
          <w:rFonts w:hint="default" w:ascii="Times New Roman" w:hAnsi="Times New Roman" w:eastAsia="黑体" w:cs="Times New Roman"/>
          <w:b w:val="0"/>
          <w:color w:val="auto"/>
          <w:spacing w:val="0"/>
          <w:sz w:val="24"/>
          <w:szCs w:val="24"/>
        </w:rPr>
      </w:pPr>
      <w:r>
        <w:rPr>
          <w:rFonts w:hint="default" w:ascii="Times New Roman" w:hAnsi="Times New Roman" w:eastAsia="黑体" w:cs="Times New Roman"/>
          <w:b w:val="0"/>
          <w:color w:val="auto"/>
          <w:spacing w:val="0"/>
          <w:sz w:val="24"/>
          <w:szCs w:val="24"/>
        </w:rPr>
        <w:t>工作交接配合</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rPr>
      </w:pPr>
      <w:r>
        <w:rPr>
          <w:rFonts w:hint="eastAsia" w:cs="Times New Roman"/>
          <w:b w:val="0"/>
          <w:color w:val="auto"/>
          <w:sz w:val="24"/>
          <w:szCs w:val="24"/>
          <w:lang w:val="en-US" w:eastAsia="zh-CN"/>
        </w:rPr>
        <w:t>钢制安全防护栏杆、平台及斜梯（直梯）等设施治理施工</w:t>
      </w:r>
      <w:r>
        <w:rPr>
          <w:rFonts w:hint="default" w:ascii="Times New Roman" w:hAnsi="Times New Roman" w:cs="Times New Roman"/>
          <w:b w:val="0"/>
          <w:color w:val="auto"/>
          <w:sz w:val="24"/>
          <w:szCs w:val="24"/>
          <w:lang w:val="en-US" w:eastAsia="zh-CN"/>
        </w:rPr>
        <w:t>开工前，投标</w:t>
      </w:r>
      <w:r>
        <w:rPr>
          <w:rFonts w:hint="default" w:ascii="Times New Roman" w:hAnsi="Times New Roman" w:cs="Times New Roman"/>
          <w:b w:val="0"/>
          <w:color w:val="auto"/>
          <w:sz w:val="24"/>
          <w:szCs w:val="24"/>
        </w:rPr>
        <w:t>方</w:t>
      </w:r>
      <w:r>
        <w:rPr>
          <w:rFonts w:hint="default" w:ascii="Times New Roman" w:hAnsi="Times New Roman" w:cs="Times New Roman"/>
          <w:b w:val="0"/>
          <w:color w:val="auto"/>
          <w:sz w:val="24"/>
          <w:szCs w:val="24"/>
          <w:lang w:val="en-US" w:eastAsia="zh-CN"/>
        </w:rPr>
        <w:t>负责</w:t>
      </w:r>
      <w:r>
        <w:rPr>
          <w:rFonts w:hint="default" w:ascii="Times New Roman" w:hAnsi="Times New Roman" w:cs="Times New Roman"/>
          <w:b w:val="0"/>
          <w:color w:val="auto"/>
          <w:sz w:val="24"/>
          <w:szCs w:val="24"/>
        </w:rPr>
        <w:t>办理工作票。</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rPr>
      </w:pPr>
      <w:r>
        <w:rPr>
          <w:rFonts w:hint="eastAsia" w:cs="Times New Roman"/>
          <w:b w:val="0"/>
          <w:color w:val="auto"/>
          <w:sz w:val="24"/>
          <w:szCs w:val="24"/>
          <w:lang w:val="en-US" w:eastAsia="zh-CN"/>
        </w:rPr>
        <w:t>治理施工</w:t>
      </w:r>
      <w:r>
        <w:rPr>
          <w:rFonts w:hint="default" w:ascii="Times New Roman" w:hAnsi="Times New Roman" w:cs="Times New Roman"/>
          <w:b w:val="0"/>
          <w:color w:val="auto"/>
          <w:sz w:val="24"/>
          <w:szCs w:val="24"/>
        </w:rPr>
        <w:t>需要搭设脚手架的，</w:t>
      </w:r>
      <w:r>
        <w:rPr>
          <w:rFonts w:hint="eastAsia" w:cs="Times New Roman"/>
          <w:b w:val="0"/>
          <w:color w:val="auto"/>
          <w:sz w:val="24"/>
          <w:szCs w:val="24"/>
          <w:lang w:val="en-US" w:eastAsia="zh-CN"/>
        </w:rPr>
        <w:t>脚手架搭设的必要性须经招标方核实确认，招标方核实确认同意后，方可安排搭设</w:t>
      </w:r>
      <w:r>
        <w:rPr>
          <w:rFonts w:hint="default" w:ascii="Times New Roman" w:hAnsi="Times New Roman" w:cs="Times New Roman"/>
          <w:b w:val="0"/>
          <w:color w:val="auto"/>
          <w:sz w:val="24"/>
          <w:szCs w:val="24"/>
        </w:rPr>
        <w:t>。</w:t>
      </w:r>
      <w:r>
        <w:rPr>
          <w:rFonts w:hint="eastAsia" w:cs="Times New Roman"/>
          <w:b w:val="0"/>
          <w:color w:val="auto"/>
          <w:sz w:val="24"/>
          <w:szCs w:val="24"/>
          <w:lang w:val="en-US" w:eastAsia="zh-CN"/>
        </w:rPr>
        <w:t>脚手架搭设工作由招</w:t>
      </w:r>
      <w:r>
        <w:rPr>
          <w:rFonts w:hint="default" w:ascii="Times New Roman" w:hAnsi="Times New Roman" w:cs="Times New Roman"/>
          <w:b w:val="0"/>
          <w:color w:val="auto"/>
          <w:sz w:val="24"/>
          <w:szCs w:val="24"/>
          <w:lang w:eastAsia="zh-CN"/>
        </w:rPr>
        <w:t>标方</w:t>
      </w:r>
      <w:r>
        <w:rPr>
          <w:rFonts w:hint="eastAsia" w:cs="Times New Roman"/>
          <w:b w:val="0"/>
          <w:color w:val="auto"/>
          <w:sz w:val="24"/>
          <w:szCs w:val="24"/>
          <w:lang w:val="en-US" w:eastAsia="zh-CN"/>
        </w:rPr>
        <w:t>负责。</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lang w:eastAsia="zh-CN"/>
        </w:rPr>
        <w:t>招标方</w:t>
      </w:r>
      <w:r>
        <w:rPr>
          <w:rFonts w:hint="default" w:ascii="Times New Roman" w:hAnsi="Times New Roman" w:cs="Times New Roman"/>
          <w:b w:val="0"/>
          <w:color w:val="auto"/>
          <w:sz w:val="24"/>
          <w:szCs w:val="24"/>
        </w:rPr>
        <w:t>的检修维护单位负责配合</w:t>
      </w:r>
      <w:r>
        <w:rPr>
          <w:rFonts w:hint="eastAsia" w:cs="Times New Roman"/>
          <w:b w:val="0"/>
          <w:color w:val="auto"/>
          <w:sz w:val="24"/>
          <w:szCs w:val="24"/>
          <w:lang w:val="en-US" w:eastAsia="zh-CN"/>
        </w:rPr>
        <w:t>治理施工</w:t>
      </w:r>
      <w:r>
        <w:rPr>
          <w:rFonts w:hint="default" w:ascii="Times New Roman" w:hAnsi="Times New Roman" w:cs="Times New Roman"/>
          <w:b w:val="0"/>
          <w:color w:val="auto"/>
          <w:sz w:val="24"/>
          <w:szCs w:val="24"/>
        </w:rPr>
        <w:t>工作临时施工用电路线的架设，并且符合安全要求，电源盘箱配置标准化盘箱，照明布置合理，照度足够。</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rPr>
        <w:t>施工完毕后，</w:t>
      </w:r>
      <w:r>
        <w:rPr>
          <w:rFonts w:hint="default" w:ascii="Times New Roman" w:hAnsi="Times New Roman" w:cs="Times New Roman"/>
          <w:b w:val="0"/>
          <w:color w:val="auto"/>
          <w:sz w:val="24"/>
          <w:szCs w:val="24"/>
          <w:lang w:eastAsia="zh-CN"/>
        </w:rPr>
        <w:t>投标方</w:t>
      </w:r>
      <w:r>
        <w:rPr>
          <w:rFonts w:hint="default" w:ascii="Times New Roman" w:hAnsi="Times New Roman" w:cs="Times New Roman"/>
          <w:b w:val="0"/>
          <w:color w:val="auto"/>
          <w:sz w:val="24"/>
          <w:szCs w:val="24"/>
        </w:rPr>
        <w:t>负责做好施工现场的安全文明生产工作，须做到</w:t>
      </w:r>
      <w:r>
        <w:rPr>
          <w:rFonts w:hint="default" w:ascii="Times New Roman" w:hAnsi="Times New Roman" w:cs="Times New Roman"/>
          <w:b w:val="0"/>
          <w:color w:val="auto"/>
          <w:sz w:val="24"/>
          <w:szCs w:val="24"/>
          <w:lang w:eastAsia="zh-CN"/>
        </w:rPr>
        <w:t>“</w:t>
      </w:r>
      <w:r>
        <w:rPr>
          <w:rFonts w:hint="default" w:ascii="Times New Roman" w:hAnsi="Times New Roman" w:cs="Times New Roman"/>
          <w:b w:val="0"/>
          <w:color w:val="auto"/>
          <w:sz w:val="24"/>
          <w:szCs w:val="24"/>
        </w:rPr>
        <w:t>工完、料尽、场地清</w:t>
      </w:r>
      <w:r>
        <w:rPr>
          <w:rFonts w:hint="default" w:ascii="Times New Roman" w:hAnsi="Times New Roman" w:cs="Times New Roman"/>
          <w:b w:val="0"/>
          <w:color w:val="auto"/>
          <w:sz w:val="24"/>
          <w:szCs w:val="24"/>
          <w:lang w:eastAsia="zh-CN"/>
        </w:rPr>
        <w:t>”</w:t>
      </w:r>
      <w:r>
        <w:rPr>
          <w:rFonts w:hint="default" w:ascii="Times New Roman" w:hAnsi="Times New Roman" w:cs="Times New Roman"/>
          <w:b w:val="0"/>
          <w:color w:val="auto"/>
          <w:sz w:val="24"/>
          <w:szCs w:val="24"/>
        </w:rPr>
        <w:t>。</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highlight w:val="none"/>
        </w:rPr>
      </w:pPr>
      <w:r>
        <w:rPr>
          <w:rFonts w:hint="eastAsia" w:cs="Times New Roman"/>
          <w:b w:val="0"/>
          <w:color w:val="auto"/>
          <w:sz w:val="24"/>
          <w:szCs w:val="24"/>
          <w:highlight w:val="none"/>
          <w:lang w:val="en-US" w:eastAsia="zh-CN"/>
        </w:rPr>
        <w:t>治理</w:t>
      </w:r>
      <w:r>
        <w:rPr>
          <w:rFonts w:hint="default" w:ascii="Times New Roman" w:hAnsi="Times New Roman" w:cs="Times New Roman"/>
          <w:b w:val="0"/>
          <w:color w:val="auto"/>
          <w:sz w:val="24"/>
          <w:szCs w:val="24"/>
          <w:highlight w:val="none"/>
        </w:rPr>
        <w:t>施工</w:t>
      </w:r>
      <w:r>
        <w:rPr>
          <w:rFonts w:hint="default" w:ascii="Times New Roman" w:hAnsi="Times New Roman" w:cs="Times New Roman"/>
          <w:b w:val="0"/>
          <w:color w:val="auto"/>
          <w:sz w:val="24"/>
          <w:szCs w:val="24"/>
          <w:highlight w:val="none"/>
          <w:lang w:val="en-US" w:eastAsia="zh-CN"/>
        </w:rPr>
        <w:t>的每一道工序</w:t>
      </w:r>
      <w:r>
        <w:rPr>
          <w:rFonts w:hint="default" w:ascii="Times New Roman" w:hAnsi="Times New Roman" w:cs="Times New Roman"/>
          <w:b w:val="0"/>
          <w:color w:val="auto"/>
          <w:sz w:val="24"/>
          <w:szCs w:val="24"/>
          <w:highlight w:val="none"/>
        </w:rPr>
        <w:t>完毕后，</w:t>
      </w:r>
      <w:r>
        <w:rPr>
          <w:rFonts w:hint="default" w:ascii="Times New Roman" w:hAnsi="Times New Roman" w:cs="Times New Roman"/>
          <w:b w:val="0"/>
          <w:color w:val="auto"/>
          <w:sz w:val="24"/>
          <w:szCs w:val="24"/>
          <w:highlight w:val="none"/>
          <w:lang w:eastAsia="zh-CN"/>
        </w:rPr>
        <w:t>投标方</w:t>
      </w:r>
      <w:r>
        <w:rPr>
          <w:rFonts w:hint="default" w:ascii="Times New Roman" w:hAnsi="Times New Roman" w:cs="Times New Roman"/>
          <w:b w:val="0"/>
          <w:color w:val="auto"/>
          <w:sz w:val="24"/>
          <w:szCs w:val="24"/>
          <w:highlight w:val="none"/>
          <w:lang w:val="en-US" w:eastAsia="zh-CN"/>
        </w:rPr>
        <w:t>均应</w:t>
      </w:r>
      <w:r>
        <w:rPr>
          <w:rFonts w:hint="default" w:ascii="Times New Roman" w:hAnsi="Times New Roman" w:cs="Times New Roman"/>
          <w:b w:val="0"/>
          <w:color w:val="auto"/>
          <w:sz w:val="24"/>
          <w:szCs w:val="24"/>
          <w:highlight w:val="none"/>
        </w:rPr>
        <w:t>通知</w:t>
      </w:r>
      <w:r>
        <w:rPr>
          <w:rFonts w:hint="default" w:ascii="Times New Roman" w:hAnsi="Times New Roman" w:cs="Times New Roman"/>
          <w:b w:val="0"/>
          <w:color w:val="auto"/>
          <w:sz w:val="24"/>
          <w:szCs w:val="24"/>
          <w:highlight w:val="none"/>
          <w:lang w:eastAsia="zh-CN"/>
        </w:rPr>
        <w:t>招标方</w:t>
      </w:r>
      <w:r>
        <w:rPr>
          <w:rFonts w:hint="default" w:ascii="Times New Roman" w:hAnsi="Times New Roman" w:cs="Times New Roman"/>
          <w:b w:val="0"/>
          <w:color w:val="auto"/>
          <w:sz w:val="24"/>
          <w:szCs w:val="24"/>
          <w:highlight w:val="none"/>
        </w:rPr>
        <w:t>相关技术人员进行现场验收。</w:t>
      </w:r>
    </w:p>
    <w:p>
      <w:pPr>
        <w:keepNext/>
        <w:widowControl w:val="0"/>
        <w:numPr>
          <w:ilvl w:val="2"/>
          <w:numId w:val="3"/>
        </w:numPr>
        <w:tabs>
          <w:tab w:val="left" w:pos="420"/>
          <w:tab w:val="clear" w:pos="1021"/>
        </w:tabs>
        <w:adjustRightInd w:val="0"/>
        <w:spacing w:line="360" w:lineRule="auto"/>
        <w:ind w:left="0" w:firstLine="0"/>
        <w:jc w:val="left"/>
        <w:textAlignment w:val="baseline"/>
        <w:outlineLvl w:val="2"/>
        <w:rPr>
          <w:rFonts w:hint="default" w:ascii="Times New Roman" w:hAnsi="Times New Roman" w:eastAsia="黑体" w:cs="Times New Roman"/>
          <w:color w:val="000000"/>
          <w:spacing w:val="0"/>
          <w:kern w:val="2"/>
          <w:sz w:val="24"/>
          <w:szCs w:val="24"/>
          <w:lang w:val="en-US" w:eastAsia="zh-CN" w:bidi="ar-SA"/>
        </w:rPr>
      </w:pPr>
      <w:bookmarkStart w:id="28" w:name="_Toc21203_WPSOffice_Level1"/>
      <w:r>
        <w:rPr>
          <w:rFonts w:hint="default" w:ascii="Times New Roman" w:hAnsi="Times New Roman" w:eastAsia="黑体" w:cs="Times New Roman"/>
          <w:color w:val="000000"/>
          <w:spacing w:val="0"/>
          <w:kern w:val="2"/>
          <w:sz w:val="24"/>
          <w:szCs w:val="24"/>
          <w:lang w:val="en-US" w:eastAsia="zh-CN" w:bidi="ar-SA"/>
        </w:rPr>
        <w:t>质量、工期、资料要求</w:t>
      </w:r>
      <w:bookmarkEnd w:id="28"/>
    </w:p>
    <w:p>
      <w:pPr>
        <w:pStyle w:val="6"/>
        <w:keepNext w:val="0"/>
        <w:keepLines w:val="0"/>
        <w:numPr>
          <w:ilvl w:val="3"/>
          <w:numId w:val="3"/>
        </w:numPr>
        <w:tabs>
          <w:tab w:val="left" w:pos="567"/>
          <w:tab w:val="clear" w:pos="600"/>
        </w:tabs>
        <w:kinsoku w:val="0"/>
        <w:spacing w:before="163" w:beforeLines="50" w:after="163" w:afterLines="50" w:line="360" w:lineRule="auto"/>
        <w:ind w:left="0" w:firstLine="0"/>
        <w:jc w:val="left"/>
        <w:rPr>
          <w:rFonts w:hint="default" w:ascii="Times New Roman" w:hAnsi="Times New Roman" w:eastAsia="黑体" w:cs="Times New Roman"/>
          <w:b w:val="0"/>
          <w:color w:val="auto"/>
          <w:spacing w:val="0"/>
          <w:sz w:val="24"/>
          <w:szCs w:val="24"/>
        </w:rPr>
      </w:pPr>
      <w:r>
        <w:rPr>
          <w:rFonts w:hint="default" w:ascii="Times New Roman" w:hAnsi="Times New Roman" w:eastAsia="黑体" w:cs="Times New Roman"/>
          <w:b w:val="0"/>
          <w:color w:val="auto"/>
          <w:spacing w:val="0"/>
          <w:sz w:val="24"/>
          <w:szCs w:val="24"/>
        </w:rPr>
        <w:t xml:space="preserve"> 质量验收要求</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rPr>
      </w:pPr>
      <w:r>
        <w:rPr>
          <w:rFonts w:hint="eastAsia" w:ascii="Times New Roman" w:hAnsi="Times New Roman" w:cs="Times New Roman"/>
          <w:b w:val="0"/>
          <w:color w:val="auto"/>
          <w:sz w:val="24"/>
          <w:szCs w:val="24"/>
          <w:lang w:val="en-US" w:eastAsia="zh-CN"/>
        </w:rPr>
        <w:t>施工</w:t>
      </w:r>
      <w:r>
        <w:rPr>
          <w:rFonts w:hint="eastAsia" w:ascii="Times New Roman" w:hAnsi="Times New Roman" w:cs="Times New Roman"/>
          <w:b w:val="0"/>
          <w:color w:val="auto"/>
          <w:sz w:val="24"/>
          <w:szCs w:val="24"/>
          <w:lang w:eastAsia="zh-CN"/>
        </w:rPr>
        <w:t>质量按照</w:t>
      </w:r>
      <w:r>
        <w:rPr>
          <w:rFonts w:hint="eastAsia" w:ascii="Times New Roman" w:hAnsi="Times New Roman" w:cs="Times New Roman"/>
          <w:b w:val="0"/>
          <w:color w:val="auto"/>
          <w:sz w:val="24"/>
          <w:szCs w:val="24"/>
          <w:lang w:val="en-US" w:eastAsia="zh-CN"/>
        </w:rPr>
        <w:t>招</w:t>
      </w:r>
      <w:r>
        <w:rPr>
          <w:rFonts w:hint="eastAsia" w:ascii="Times New Roman" w:hAnsi="Times New Roman" w:cs="Times New Roman"/>
          <w:b w:val="0"/>
          <w:color w:val="auto"/>
          <w:sz w:val="24"/>
          <w:szCs w:val="24"/>
          <w:lang w:eastAsia="zh-CN"/>
        </w:rPr>
        <w:t>标方要求的有关标准、规范及本</w:t>
      </w:r>
      <w:r>
        <w:rPr>
          <w:rFonts w:hint="eastAsia" w:ascii="Times New Roman" w:hAnsi="Times New Roman" w:cs="Times New Roman"/>
          <w:b w:val="0"/>
          <w:color w:val="auto"/>
          <w:sz w:val="24"/>
          <w:szCs w:val="24"/>
          <w:lang w:val="en-US" w:eastAsia="zh-CN"/>
        </w:rPr>
        <w:t>技术规范书</w:t>
      </w:r>
      <w:r>
        <w:rPr>
          <w:rFonts w:hint="eastAsia" w:ascii="Times New Roman" w:hAnsi="Times New Roman" w:cs="Times New Roman"/>
          <w:b w:val="0"/>
          <w:color w:val="auto"/>
          <w:sz w:val="24"/>
          <w:szCs w:val="24"/>
          <w:lang w:eastAsia="zh-CN"/>
        </w:rPr>
        <w:t>的相应条款进行检查验收。以W、H点为依据，实施过程验收，未经招标方验收签字一律不得进入下一步工序</w:t>
      </w:r>
      <w:r>
        <w:rPr>
          <w:rFonts w:hint="eastAsia" w:cs="Times New Roman"/>
          <w:b w:val="0"/>
          <w:color w:val="auto"/>
          <w:sz w:val="24"/>
          <w:szCs w:val="24"/>
          <w:lang w:eastAsia="zh-CN"/>
        </w:rPr>
        <w:t>。</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rPr>
      </w:pPr>
      <w:r>
        <w:rPr>
          <w:rFonts w:hint="default" w:ascii="Times New Roman" w:hAnsi="Times New Roman" w:cs="Times New Roman"/>
          <w:b w:val="0"/>
          <w:color w:val="auto"/>
          <w:sz w:val="24"/>
          <w:szCs w:val="24"/>
        </w:rPr>
        <w:t>投标方应认真按照有关标准、规范要求施工，随时接受招标方代表的检验，为检验提供便利条件，并按招标方代表提出的意见整改</w:t>
      </w:r>
      <w:r>
        <w:rPr>
          <w:rFonts w:hint="eastAsia" w:cs="Times New Roman"/>
          <w:b w:val="0"/>
          <w:color w:val="auto"/>
          <w:sz w:val="24"/>
          <w:szCs w:val="24"/>
          <w:lang w:eastAsia="zh-CN"/>
        </w:rPr>
        <w:t>。</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rPr>
      </w:pPr>
      <w:r>
        <w:rPr>
          <w:rFonts w:hint="eastAsia" w:cs="Times New Roman"/>
          <w:b w:val="0"/>
          <w:color w:val="auto"/>
          <w:sz w:val="24"/>
          <w:szCs w:val="24"/>
          <w:lang w:val="en-US" w:eastAsia="zh-CN"/>
        </w:rPr>
        <w:t>焊接材料与母材的匹配应符合设计文件的要求及国家现行标准规定</w:t>
      </w:r>
      <w:r>
        <w:rPr>
          <w:rFonts w:hint="default" w:ascii="Times New Roman" w:hAnsi="Times New Roman" w:cs="Times New Roman"/>
          <w:b w:val="0"/>
          <w:color w:val="auto"/>
          <w:sz w:val="24"/>
          <w:szCs w:val="24"/>
        </w:rPr>
        <w:t>。</w:t>
      </w:r>
      <w:r>
        <w:rPr>
          <w:rFonts w:hint="eastAsia" w:cs="Times New Roman"/>
          <w:b w:val="0"/>
          <w:color w:val="auto"/>
          <w:sz w:val="24"/>
          <w:szCs w:val="24"/>
          <w:lang w:val="en-US" w:eastAsia="zh-CN"/>
        </w:rPr>
        <w:t>焊接材料在使用前，应按其产品说明书及焊接工艺文件的规定进行烘焙和存放。</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rPr>
      </w:pPr>
      <w:r>
        <w:rPr>
          <w:rFonts w:hint="eastAsia" w:cs="Times New Roman"/>
          <w:b w:val="0"/>
          <w:color w:val="auto"/>
          <w:sz w:val="24"/>
          <w:szCs w:val="24"/>
          <w:lang w:val="en-US" w:eastAsia="zh-CN"/>
        </w:rPr>
        <w:t>持证焊工必须在其焊工合格证书规定的认可范围内施焊，严禁无证焊工施焊。</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highlight w:val="none"/>
        </w:rPr>
      </w:pPr>
      <w:r>
        <w:rPr>
          <w:rFonts w:hint="eastAsia" w:cs="Times New Roman"/>
          <w:b w:val="0"/>
          <w:color w:val="auto"/>
          <w:sz w:val="24"/>
          <w:szCs w:val="24"/>
          <w:highlight w:val="none"/>
          <w:lang w:val="en-US" w:eastAsia="zh-CN"/>
        </w:rPr>
        <w:t>投标方应按现行国家标准《钢结构焊接工艺》（GB 50661）的规定进行焊接工艺评定。</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cs="Times New Roman"/>
          <w:b w:val="0"/>
          <w:color w:val="auto"/>
          <w:sz w:val="24"/>
          <w:szCs w:val="24"/>
        </w:rPr>
      </w:pPr>
      <w:r>
        <w:rPr>
          <w:rFonts w:hint="eastAsia" w:cs="Times New Roman"/>
          <w:b w:val="0"/>
          <w:color w:val="auto"/>
          <w:sz w:val="24"/>
          <w:szCs w:val="24"/>
          <w:highlight w:val="none"/>
          <w:lang w:val="en-US" w:eastAsia="zh-CN"/>
        </w:rPr>
        <w:t>相关焊接施工应满足《钢结构工程施工质量验收标准》（GB 50205）的相关要求</w:t>
      </w:r>
      <w:r>
        <w:rPr>
          <w:rFonts w:hint="eastAsia" w:cs="Times New Roman"/>
          <w:b w:val="0"/>
          <w:color w:val="auto"/>
          <w:sz w:val="24"/>
          <w:szCs w:val="24"/>
          <w:lang w:val="en-US" w:eastAsia="zh-CN"/>
        </w:rPr>
        <w:t>。焊缝不能出现裂纹、未满焊、根部收缩、咬边、电弧擦伤、接头不良、表面气孔、表面夹渣等。</w:t>
      </w:r>
    </w:p>
    <w:p>
      <w:pPr>
        <w:pStyle w:val="7"/>
        <w:keepNext w:val="0"/>
        <w:keepLines w:val="0"/>
        <w:numPr>
          <w:ilvl w:val="4"/>
          <w:numId w:val="3"/>
        </w:numPr>
        <w:tabs>
          <w:tab w:val="left" w:pos="170"/>
          <w:tab w:val="left" w:pos="840"/>
        </w:tabs>
        <w:spacing w:before="0" w:after="0" w:line="360" w:lineRule="auto"/>
        <w:ind w:left="0" w:firstLine="0"/>
        <w:jc w:val="left"/>
        <w:rPr>
          <w:rFonts w:hint="eastAsia" w:cs="Times New Roman"/>
          <w:b w:val="0"/>
          <w:color w:val="auto"/>
          <w:sz w:val="24"/>
          <w:szCs w:val="24"/>
          <w:lang w:val="en-US" w:eastAsia="zh-CN"/>
        </w:rPr>
      </w:pPr>
      <w:r>
        <w:rPr>
          <w:rFonts w:hint="eastAsia" w:cs="Times New Roman"/>
          <w:b w:val="0"/>
          <w:color w:val="auto"/>
          <w:sz w:val="24"/>
          <w:szCs w:val="24"/>
          <w:lang w:val="en-US" w:eastAsia="zh-CN"/>
        </w:rPr>
        <w:t>安装后的防护栏杆及钢平台等应平直，铺板应平整，不应有歪斜、扭曲、变形及其他缺陷。安转后的梯子不应有歪斜、扭曲、变形及其他缺陷。</w:t>
      </w:r>
    </w:p>
    <w:p>
      <w:pPr>
        <w:pStyle w:val="7"/>
        <w:keepNext w:val="0"/>
        <w:keepLines w:val="0"/>
        <w:numPr>
          <w:ilvl w:val="4"/>
          <w:numId w:val="3"/>
        </w:numPr>
        <w:tabs>
          <w:tab w:val="left" w:pos="170"/>
          <w:tab w:val="left" w:pos="840"/>
        </w:tabs>
        <w:spacing w:before="0" w:after="0" w:line="360" w:lineRule="auto"/>
        <w:ind w:left="0" w:firstLine="0"/>
        <w:jc w:val="left"/>
        <w:rPr>
          <w:rFonts w:hint="eastAsia" w:ascii="Times New Roman" w:hAnsi="Times New Roman" w:cs="Times New Roman"/>
          <w:b w:val="0"/>
          <w:color w:val="auto"/>
          <w:sz w:val="24"/>
          <w:szCs w:val="24"/>
          <w:lang w:val="en-US" w:eastAsia="zh-CN"/>
        </w:rPr>
      </w:pPr>
      <w:r>
        <w:rPr>
          <w:rFonts w:hint="eastAsia" w:cs="Times New Roman"/>
          <w:b w:val="0"/>
          <w:color w:val="auto"/>
          <w:sz w:val="24"/>
          <w:szCs w:val="24"/>
          <w:lang w:val="en-US" w:eastAsia="zh-CN"/>
        </w:rPr>
        <w:t>施工范围内的钢制安全防护栏杆、平台及斜梯（直梯）等设施相关验收要求：</w:t>
      </w:r>
      <w:r>
        <w:rPr>
          <w:rFonts w:hint="eastAsia" w:ascii="Times New Roman" w:hAnsi="Times New Roman" w:cs="Times New Roman"/>
          <w:b w:val="0"/>
          <w:color w:val="auto"/>
          <w:sz w:val="24"/>
          <w:szCs w:val="24"/>
          <w:lang w:val="en-US" w:eastAsia="zh-CN"/>
        </w:rPr>
        <w:t xml:space="preserve">                        </w:t>
      </w:r>
    </w:p>
    <w:p>
      <w:pPr>
        <w:pStyle w:val="7"/>
        <w:keepNext w:val="0"/>
        <w:keepLines w:val="0"/>
        <w:pageBreakBefore w:val="0"/>
        <w:widowControl w:val="0"/>
        <w:numPr>
          <w:ilvl w:val="0"/>
          <w:numId w:val="0"/>
        </w:numPr>
        <w:tabs>
          <w:tab w:val="left" w:pos="170"/>
          <w:tab w:val="left" w:pos="851"/>
        </w:tabs>
        <w:kinsoku/>
        <w:wordWrap/>
        <w:overflowPunct/>
        <w:topLinePunct w:val="0"/>
        <w:autoSpaceDE/>
        <w:autoSpaceDN/>
        <w:bidi w:val="0"/>
        <w:adjustRightInd/>
        <w:snapToGrid/>
        <w:spacing w:before="0" w:after="0" w:line="360" w:lineRule="auto"/>
        <w:ind w:leftChars="0" w:firstLine="480" w:firstLineChars="200"/>
        <w:jc w:val="left"/>
        <w:textAlignment w:val="auto"/>
        <w:rPr>
          <w:rFonts w:hint="eastAsia" w:ascii="Times New Roman" w:hAnsi="Times New Roman" w:cs="Times New Roman"/>
          <w:b w:val="0"/>
          <w:color w:val="auto"/>
          <w:sz w:val="24"/>
          <w:szCs w:val="24"/>
          <w:lang w:val="en-US" w:eastAsia="zh-CN"/>
        </w:rPr>
      </w:pPr>
      <w:r>
        <w:rPr>
          <w:rFonts w:hint="eastAsia" w:ascii="Times New Roman" w:hAnsi="Times New Roman" w:cs="Times New Roman"/>
          <w:b w:val="0"/>
          <w:color w:val="auto"/>
          <w:sz w:val="24"/>
          <w:szCs w:val="24"/>
          <w:lang w:val="en-US" w:eastAsia="zh-CN"/>
        </w:rPr>
        <w:t>栏杆立柱垂直度偏差：    ≤3mm</w:t>
      </w:r>
    </w:p>
    <w:p>
      <w:pPr>
        <w:pStyle w:val="7"/>
        <w:keepNext w:val="0"/>
        <w:keepLines w:val="0"/>
        <w:pageBreakBefore w:val="0"/>
        <w:widowControl w:val="0"/>
        <w:numPr>
          <w:ilvl w:val="0"/>
          <w:numId w:val="0"/>
        </w:numPr>
        <w:tabs>
          <w:tab w:val="left" w:pos="170"/>
          <w:tab w:val="left" w:pos="851"/>
        </w:tabs>
        <w:kinsoku/>
        <w:wordWrap/>
        <w:overflowPunct/>
        <w:topLinePunct w:val="0"/>
        <w:autoSpaceDE/>
        <w:autoSpaceDN/>
        <w:bidi w:val="0"/>
        <w:adjustRightInd/>
        <w:snapToGrid/>
        <w:spacing w:before="0" w:after="0" w:line="360" w:lineRule="auto"/>
        <w:ind w:leftChars="0" w:firstLine="480" w:firstLineChars="200"/>
        <w:jc w:val="left"/>
        <w:textAlignment w:val="auto"/>
        <w:rPr>
          <w:rFonts w:hint="eastAsia" w:ascii="Times New Roman" w:hAnsi="Times New Roman" w:cs="Times New Roman"/>
          <w:b w:val="0"/>
          <w:color w:val="auto"/>
          <w:sz w:val="24"/>
          <w:szCs w:val="24"/>
          <w:lang w:val="en-US" w:eastAsia="zh-CN"/>
        </w:rPr>
      </w:pPr>
      <w:r>
        <w:rPr>
          <w:rFonts w:hint="eastAsia" w:ascii="Times New Roman" w:hAnsi="Times New Roman" w:cs="Times New Roman"/>
          <w:b w:val="0"/>
          <w:color w:val="auto"/>
          <w:sz w:val="24"/>
          <w:szCs w:val="24"/>
          <w:lang w:val="en-US" w:eastAsia="zh-CN"/>
        </w:rPr>
        <w:t>栏杆横杆平直度偏差：   ≤10mm</w:t>
      </w:r>
    </w:p>
    <w:p>
      <w:pPr>
        <w:pStyle w:val="7"/>
        <w:keepNext w:val="0"/>
        <w:keepLines w:val="0"/>
        <w:pageBreakBefore w:val="0"/>
        <w:widowControl w:val="0"/>
        <w:numPr>
          <w:ilvl w:val="0"/>
          <w:numId w:val="0"/>
        </w:numPr>
        <w:tabs>
          <w:tab w:val="left" w:pos="170"/>
          <w:tab w:val="left" w:pos="851"/>
        </w:tabs>
        <w:kinsoku/>
        <w:wordWrap/>
        <w:overflowPunct/>
        <w:topLinePunct w:val="0"/>
        <w:autoSpaceDE/>
        <w:autoSpaceDN/>
        <w:bidi w:val="0"/>
        <w:adjustRightInd/>
        <w:snapToGrid/>
        <w:spacing w:before="0" w:after="0" w:line="360" w:lineRule="auto"/>
        <w:ind w:leftChars="0" w:firstLine="480" w:firstLineChars="200"/>
        <w:jc w:val="left"/>
        <w:textAlignment w:val="auto"/>
        <w:rPr>
          <w:rFonts w:hint="eastAsia" w:ascii="Times New Roman" w:hAnsi="Times New Roman" w:cs="Times New Roman"/>
          <w:b w:val="0"/>
          <w:color w:val="auto"/>
          <w:sz w:val="24"/>
          <w:szCs w:val="24"/>
          <w:lang w:val="en-US" w:eastAsia="zh-CN"/>
        </w:rPr>
      </w:pPr>
      <w:r>
        <w:rPr>
          <w:rFonts w:hint="eastAsia" w:ascii="Times New Roman" w:hAnsi="Times New Roman" w:cs="Times New Roman"/>
          <w:b w:val="0"/>
          <w:color w:val="auto"/>
          <w:sz w:val="24"/>
          <w:szCs w:val="24"/>
          <w:lang w:val="en-US" w:eastAsia="zh-CN"/>
        </w:rPr>
        <w:t xml:space="preserve">钢格栅平整度：  ≤3mm   </w:t>
      </w:r>
    </w:p>
    <w:p>
      <w:pPr>
        <w:pStyle w:val="7"/>
        <w:keepNext w:val="0"/>
        <w:keepLines w:val="0"/>
        <w:pageBreakBefore w:val="0"/>
        <w:widowControl w:val="0"/>
        <w:numPr>
          <w:ilvl w:val="0"/>
          <w:numId w:val="0"/>
        </w:numPr>
        <w:tabs>
          <w:tab w:val="left" w:pos="170"/>
          <w:tab w:val="left" w:pos="851"/>
        </w:tabs>
        <w:kinsoku/>
        <w:wordWrap/>
        <w:overflowPunct/>
        <w:topLinePunct w:val="0"/>
        <w:autoSpaceDE/>
        <w:autoSpaceDN/>
        <w:bidi w:val="0"/>
        <w:adjustRightInd/>
        <w:snapToGrid/>
        <w:spacing w:before="0" w:after="0" w:line="360" w:lineRule="auto"/>
        <w:ind w:leftChars="0" w:firstLine="480" w:firstLineChars="200"/>
        <w:jc w:val="left"/>
        <w:textAlignment w:val="auto"/>
        <w:rPr>
          <w:rFonts w:hint="default" w:cs="Times New Roman"/>
          <w:b w:val="0"/>
          <w:color w:val="auto"/>
          <w:sz w:val="24"/>
          <w:szCs w:val="24"/>
          <w:lang w:val="en-US" w:eastAsia="zh-CN"/>
        </w:rPr>
      </w:pPr>
      <w:r>
        <w:rPr>
          <w:rFonts w:hint="eastAsia" w:ascii="Times New Roman" w:hAnsi="Times New Roman" w:cs="Times New Roman"/>
          <w:b w:val="0"/>
          <w:color w:val="auto"/>
          <w:sz w:val="24"/>
          <w:szCs w:val="24"/>
          <w:lang w:val="en-US" w:eastAsia="zh-CN"/>
        </w:rPr>
        <w:t>栏杆横杆间距</w:t>
      </w:r>
      <w:r>
        <w:rPr>
          <w:rFonts w:hint="eastAsia" w:cs="Times New Roman"/>
          <w:b w:val="0"/>
          <w:color w:val="auto"/>
          <w:sz w:val="24"/>
          <w:szCs w:val="24"/>
          <w:lang w:val="en-US" w:eastAsia="zh-CN"/>
        </w:rPr>
        <w:t>、</w:t>
      </w:r>
      <w:r>
        <w:rPr>
          <w:rFonts w:hint="eastAsia" w:ascii="Times New Roman" w:hAnsi="Times New Roman" w:cs="Times New Roman"/>
          <w:b w:val="0"/>
          <w:color w:val="auto"/>
          <w:sz w:val="24"/>
          <w:szCs w:val="24"/>
          <w:lang w:val="en-US" w:eastAsia="zh-CN"/>
        </w:rPr>
        <w:t>栏杆立杆间距</w:t>
      </w:r>
      <w:r>
        <w:rPr>
          <w:rFonts w:hint="eastAsia" w:cs="Times New Roman"/>
          <w:b w:val="0"/>
          <w:color w:val="auto"/>
          <w:sz w:val="24"/>
          <w:szCs w:val="24"/>
          <w:lang w:val="en-US" w:eastAsia="zh-CN"/>
        </w:rPr>
        <w:t>、</w:t>
      </w:r>
      <w:r>
        <w:rPr>
          <w:rFonts w:hint="eastAsia" w:ascii="Times New Roman" w:hAnsi="Times New Roman" w:cs="Times New Roman"/>
          <w:b w:val="0"/>
          <w:color w:val="auto"/>
          <w:sz w:val="24"/>
          <w:szCs w:val="24"/>
          <w:lang w:val="en-US" w:eastAsia="zh-CN"/>
        </w:rPr>
        <w:t>栏杆扶手高度</w:t>
      </w:r>
      <w:r>
        <w:rPr>
          <w:rFonts w:hint="eastAsia" w:cs="Times New Roman"/>
          <w:b w:val="0"/>
          <w:color w:val="auto"/>
          <w:sz w:val="24"/>
          <w:szCs w:val="24"/>
          <w:lang w:val="en-US" w:eastAsia="zh-CN"/>
        </w:rPr>
        <w:t>、</w:t>
      </w:r>
      <w:r>
        <w:rPr>
          <w:rFonts w:hint="eastAsia" w:ascii="Times New Roman" w:hAnsi="Times New Roman" w:cs="Times New Roman"/>
          <w:b w:val="0"/>
          <w:color w:val="auto"/>
          <w:sz w:val="24"/>
          <w:szCs w:val="24"/>
          <w:lang w:val="en-US" w:eastAsia="zh-CN"/>
        </w:rPr>
        <w:t>平台宽度</w:t>
      </w:r>
      <w:r>
        <w:rPr>
          <w:rFonts w:hint="eastAsia" w:cs="Times New Roman"/>
          <w:b w:val="0"/>
          <w:color w:val="auto"/>
          <w:sz w:val="24"/>
          <w:szCs w:val="24"/>
          <w:lang w:val="en-US" w:eastAsia="zh-CN"/>
        </w:rPr>
        <w:t>、</w:t>
      </w:r>
      <w:r>
        <w:rPr>
          <w:rFonts w:hint="eastAsia" w:ascii="Times New Roman" w:hAnsi="Times New Roman" w:cs="Times New Roman"/>
          <w:b w:val="0"/>
          <w:color w:val="auto"/>
          <w:sz w:val="24"/>
          <w:szCs w:val="24"/>
          <w:lang w:val="en-US" w:eastAsia="zh-CN"/>
        </w:rPr>
        <w:t>平台槽钢加强筋间距</w:t>
      </w:r>
      <w:r>
        <w:rPr>
          <w:rFonts w:hint="eastAsia" w:cs="Times New Roman"/>
          <w:b w:val="0"/>
          <w:color w:val="auto"/>
          <w:sz w:val="24"/>
          <w:szCs w:val="24"/>
          <w:lang w:val="en-US" w:eastAsia="zh-CN"/>
        </w:rPr>
        <w:t>、</w:t>
      </w:r>
      <w:r>
        <w:rPr>
          <w:rFonts w:hint="eastAsia" w:ascii="Times New Roman" w:hAnsi="Times New Roman" w:cs="Times New Roman"/>
          <w:b w:val="0"/>
          <w:color w:val="auto"/>
          <w:sz w:val="24"/>
          <w:szCs w:val="24"/>
          <w:lang w:val="en-US" w:eastAsia="zh-CN"/>
        </w:rPr>
        <w:t>护笼横杆间距</w:t>
      </w:r>
      <w:r>
        <w:rPr>
          <w:rFonts w:hint="eastAsia" w:cs="Times New Roman"/>
          <w:b w:val="0"/>
          <w:color w:val="auto"/>
          <w:sz w:val="24"/>
          <w:szCs w:val="24"/>
          <w:lang w:val="en-US" w:eastAsia="zh-CN"/>
        </w:rPr>
        <w:t>、</w:t>
      </w:r>
      <w:r>
        <w:rPr>
          <w:rFonts w:hint="eastAsia" w:ascii="Times New Roman" w:hAnsi="Times New Roman" w:cs="Times New Roman"/>
          <w:b w:val="0"/>
          <w:color w:val="auto"/>
          <w:sz w:val="24"/>
          <w:szCs w:val="24"/>
          <w:lang w:val="en-US" w:eastAsia="zh-CN"/>
        </w:rPr>
        <w:t>盖板搭接宽度</w:t>
      </w:r>
      <w:r>
        <w:rPr>
          <w:rFonts w:hint="eastAsia" w:cs="Times New Roman"/>
          <w:b w:val="0"/>
          <w:color w:val="auto"/>
          <w:sz w:val="24"/>
          <w:szCs w:val="24"/>
          <w:lang w:val="en-US" w:eastAsia="zh-CN"/>
        </w:rPr>
        <w:t>等均应满足香型标准规范要求。</w:t>
      </w:r>
    </w:p>
    <w:p>
      <w:pPr>
        <w:pStyle w:val="7"/>
        <w:keepNext w:val="0"/>
        <w:keepLines w:val="0"/>
        <w:numPr>
          <w:ilvl w:val="4"/>
          <w:numId w:val="3"/>
        </w:numPr>
        <w:tabs>
          <w:tab w:val="left" w:pos="170"/>
          <w:tab w:val="left" w:pos="840"/>
        </w:tabs>
        <w:spacing w:before="0" w:after="0" w:line="360" w:lineRule="auto"/>
        <w:ind w:left="0" w:firstLine="0"/>
        <w:jc w:val="left"/>
        <w:rPr>
          <w:rFonts w:hint="default" w:cs="Times New Roman"/>
          <w:b w:val="0"/>
          <w:color w:val="auto"/>
          <w:sz w:val="24"/>
          <w:szCs w:val="24"/>
          <w:lang w:val="en-US" w:eastAsia="zh-CN"/>
        </w:rPr>
      </w:pPr>
      <w:r>
        <w:rPr>
          <w:rFonts w:hint="default" w:cs="Times New Roman"/>
          <w:b w:val="0"/>
          <w:color w:val="auto"/>
          <w:sz w:val="24"/>
          <w:szCs w:val="24"/>
          <w:lang w:val="en-US" w:eastAsia="zh-CN"/>
        </w:rPr>
        <w:t>未尽事宜，双方协商解决。</w:t>
      </w:r>
    </w:p>
    <w:p>
      <w:pPr>
        <w:pStyle w:val="7"/>
        <w:keepNext w:val="0"/>
        <w:keepLines w:val="0"/>
        <w:numPr>
          <w:ilvl w:val="4"/>
          <w:numId w:val="3"/>
        </w:numPr>
        <w:tabs>
          <w:tab w:val="left" w:pos="170"/>
          <w:tab w:val="left" w:pos="840"/>
        </w:tabs>
        <w:spacing w:before="0" w:after="0" w:line="360" w:lineRule="auto"/>
        <w:ind w:left="0" w:firstLine="0"/>
        <w:jc w:val="left"/>
        <w:rPr>
          <w:rFonts w:hint="default" w:cs="Times New Roman"/>
          <w:b w:val="0"/>
          <w:color w:val="auto"/>
          <w:sz w:val="24"/>
          <w:szCs w:val="24"/>
          <w:lang w:val="en-US" w:eastAsia="zh-CN"/>
        </w:rPr>
      </w:pPr>
      <w:r>
        <w:rPr>
          <w:rFonts w:hint="eastAsia" w:cs="Times New Roman"/>
          <w:b w:val="0"/>
          <w:color w:val="auto"/>
          <w:sz w:val="24"/>
          <w:szCs w:val="24"/>
          <w:lang w:val="en-US" w:eastAsia="zh-CN"/>
        </w:rPr>
        <w:t>施工</w:t>
      </w:r>
      <w:r>
        <w:rPr>
          <w:rFonts w:hint="default" w:cs="Times New Roman"/>
          <w:b w:val="0"/>
          <w:color w:val="auto"/>
          <w:sz w:val="24"/>
          <w:szCs w:val="24"/>
          <w:lang w:val="en-US" w:eastAsia="zh-CN"/>
        </w:rPr>
        <w:t>过程监督与验收流程</w:t>
      </w:r>
    </w:p>
    <w:p>
      <w:pPr>
        <w:pStyle w:val="7"/>
        <w:keepNext w:val="0"/>
        <w:keepLines w:val="0"/>
        <w:pageBreakBefore w:val="0"/>
        <w:widowControl w:val="0"/>
        <w:numPr>
          <w:ilvl w:val="0"/>
          <w:numId w:val="0"/>
        </w:numPr>
        <w:tabs>
          <w:tab w:val="left" w:pos="170"/>
          <w:tab w:val="left" w:pos="851"/>
        </w:tabs>
        <w:kinsoku/>
        <w:wordWrap/>
        <w:overflowPunct/>
        <w:topLinePunct w:val="0"/>
        <w:autoSpaceDE/>
        <w:autoSpaceDN/>
        <w:bidi w:val="0"/>
        <w:adjustRightInd/>
        <w:snapToGrid/>
        <w:spacing w:before="0" w:after="0" w:line="360" w:lineRule="auto"/>
        <w:ind w:leftChars="0" w:firstLine="480" w:firstLineChars="200"/>
        <w:jc w:val="left"/>
        <w:textAlignment w:val="auto"/>
        <w:rPr>
          <w:rFonts w:hint="default" w:ascii="Times New Roman" w:hAnsi="Times New Roman" w:cs="Times New Roman"/>
          <w:b w:val="0"/>
          <w:color w:val="auto"/>
          <w:sz w:val="24"/>
          <w:szCs w:val="24"/>
          <w:lang w:val="en-US" w:eastAsia="zh-CN"/>
        </w:rPr>
      </w:pPr>
      <w:r>
        <w:rPr>
          <w:rFonts w:hint="eastAsia" w:cs="Times New Roman"/>
          <w:b w:val="0"/>
          <w:color w:val="auto"/>
          <w:sz w:val="24"/>
          <w:szCs w:val="24"/>
          <w:lang w:val="en-US" w:eastAsia="zh-CN"/>
        </w:rPr>
        <w:t>施工</w:t>
      </w:r>
      <w:r>
        <w:rPr>
          <w:rFonts w:hint="default" w:ascii="Times New Roman" w:hAnsi="Times New Roman" w:cs="Times New Roman"/>
          <w:b w:val="0"/>
          <w:color w:val="auto"/>
          <w:sz w:val="24"/>
          <w:szCs w:val="24"/>
          <w:lang w:val="en-US" w:eastAsia="zh-CN"/>
        </w:rPr>
        <w:t>过程中，要求投标方</w:t>
      </w:r>
      <w:r>
        <w:rPr>
          <w:rFonts w:hint="eastAsia" w:cs="Times New Roman"/>
          <w:b w:val="0"/>
          <w:color w:val="auto"/>
          <w:sz w:val="24"/>
          <w:szCs w:val="24"/>
          <w:lang w:val="en-US" w:eastAsia="zh-CN"/>
        </w:rPr>
        <w:t>施工</w:t>
      </w:r>
      <w:r>
        <w:rPr>
          <w:rFonts w:hint="default" w:ascii="Times New Roman" w:hAnsi="Times New Roman" w:cs="Times New Roman"/>
          <w:b w:val="0"/>
          <w:color w:val="auto"/>
          <w:sz w:val="24"/>
          <w:szCs w:val="24"/>
          <w:lang w:val="en-US" w:eastAsia="zh-CN"/>
        </w:rPr>
        <w:t>人员严格按</w:t>
      </w:r>
      <w:r>
        <w:rPr>
          <w:rFonts w:hint="eastAsia" w:cs="Times New Roman"/>
          <w:b w:val="0"/>
          <w:color w:val="auto"/>
          <w:sz w:val="24"/>
          <w:szCs w:val="24"/>
          <w:lang w:val="en-US" w:eastAsia="zh-CN"/>
        </w:rPr>
        <w:t>施工标准</w:t>
      </w:r>
      <w:r>
        <w:rPr>
          <w:rFonts w:hint="default" w:ascii="Times New Roman" w:hAnsi="Times New Roman" w:cs="Times New Roman"/>
          <w:b w:val="0"/>
          <w:color w:val="auto"/>
          <w:sz w:val="24"/>
          <w:szCs w:val="24"/>
          <w:lang w:val="en-US" w:eastAsia="zh-CN"/>
        </w:rPr>
        <w:t>及工艺要求施工，招</w:t>
      </w:r>
      <w:r>
        <w:rPr>
          <w:rFonts w:hint="eastAsia" w:cs="Times New Roman"/>
          <w:b w:val="0"/>
          <w:color w:val="auto"/>
          <w:sz w:val="24"/>
          <w:szCs w:val="24"/>
          <w:lang w:val="en-US" w:eastAsia="zh-CN"/>
        </w:rPr>
        <w:t>标方与</w:t>
      </w:r>
      <w:r>
        <w:rPr>
          <w:rFonts w:hint="default" w:ascii="Times New Roman" w:hAnsi="Times New Roman" w:cs="Times New Roman"/>
          <w:b w:val="0"/>
          <w:color w:val="auto"/>
          <w:sz w:val="24"/>
          <w:szCs w:val="24"/>
          <w:lang w:val="en-US" w:eastAsia="zh-CN"/>
        </w:rPr>
        <w:t>投</w:t>
      </w:r>
      <w:r>
        <w:rPr>
          <w:rFonts w:hint="eastAsia" w:cs="Times New Roman"/>
          <w:b w:val="0"/>
          <w:color w:val="auto"/>
          <w:sz w:val="24"/>
          <w:szCs w:val="24"/>
          <w:lang w:val="en-US" w:eastAsia="zh-CN"/>
        </w:rPr>
        <w:t>标</w:t>
      </w:r>
      <w:r>
        <w:rPr>
          <w:rFonts w:hint="default" w:ascii="Times New Roman" w:hAnsi="Times New Roman" w:cs="Times New Roman"/>
          <w:b w:val="0"/>
          <w:color w:val="auto"/>
          <w:sz w:val="24"/>
          <w:szCs w:val="24"/>
          <w:lang w:val="en-US" w:eastAsia="zh-CN"/>
        </w:rPr>
        <w:t>方</w:t>
      </w:r>
      <w:r>
        <w:rPr>
          <w:rFonts w:hint="eastAsia" w:cs="Times New Roman"/>
          <w:b w:val="0"/>
          <w:color w:val="auto"/>
          <w:sz w:val="24"/>
          <w:szCs w:val="24"/>
          <w:lang w:val="en-US" w:eastAsia="zh-CN"/>
        </w:rPr>
        <w:t>相关</w:t>
      </w:r>
      <w:r>
        <w:rPr>
          <w:rFonts w:hint="default" w:ascii="Times New Roman" w:hAnsi="Times New Roman" w:cs="Times New Roman"/>
          <w:b w:val="0"/>
          <w:color w:val="auto"/>
          <w:sz w:val="24"/>
          <w:szCs w:val="24"/>
          <w:lang w:val="en-US" w:eastAsia="zh-CN"/>
        </w:rPr>
        <w:t>人员共同对</w:t>
      </w:r>
      <w:r>
        <w:rPr>
          <w:rFonts w:hint="eastAsia" w:cs="Times New Roman"/>
          <w:b w:val="0"/>
          <w:color w:val="auto"/>
          <w:sz w:val="24"/>
          <w:szCs w:val="24"/>
          <w:lang w:val="en-US" w:eastAsia="zh-CN"/>
        </w:rPr>
        <w:t>施工</w:t>
      </w:r>
      <w:r>
        <w:rPr>
          <w:rFonts w:hint="default" w:ascii="Times New Roman" w:hAnsi="Times New Roman" w:cs="Times New Roman"/>
          <w:b w:val="0"/>
          <w:color w:val="auto"/>
          <w:sz w:val="24"/>
          <w:szCs w:val="24"/>
          <w:lang w:val="en-US" w:eastAsia="zh-CN"/>
        </w:rPr>
        <w:t>工艺、质量严格控制，不得出现</w:t>
      </w:r>
      <w:r>
        <w:rPr>
          <w:rFonts w:hint="eastAsia" w:cs="Times New Roman"/>
          <w:b w:val="0"/>
          <w:color w:val="auto"/>
          <w:sz w:val="24"/>
          <w:szCs w:val="24"/>
          <w:lang w:val="en-US" w:eastAsia="zh-CN"/>
        </w:rPr>
        <w:t>施工</w:t>
      </w:r>
      <w:r>
        <w:rPr>
          <w:rFonts w:hint="default" w:ascii="Times New Roman" w:hAnsi="Times New Roman" w:cs="Times New Roman"/>
          <w:b w:val="0"/>
          <w:color w:val="auto"/>
          <w:sz w:val="24"/>
          <w:szCs w:val="24"/>
          <w:lang w:val="en-US" w:eastAsia="zh-CN"/>
        </w:rPr>
        <w:t>质量问题。过程监督不代替最终质量验收，不免除在质量保证期因质量问题需投标方承担的责任。为加强</w:t>
      </w:r>
      <w:r>
        <w:rPr>
          <w:rFonts w:hint="eastAsia" w:cs="Times New Roman"/>
          <w:b w:val="0"/>
          <w:color w:val="auto"/>
          <w:sz w:val="24"/>
          <w:szCs w:val="24"/>
          <w:lang w:val="en-US" w:eastAsia="zh-CN"/>
        </w:rPr>
        <w:t>施工</w:t>
      </w:r>
      <w:r>
        <w:rPr>
          <w:rFonts w:hint="default" w:ascii="Times New Roman" w:hAnsi="Times New Roman" w:cs="Times New Roman"/>
          <w:b w:val="0"/>
          <w:color w:val="auto"/>
          <w:sz w:val="24"/>
          <w:szCs w:val="24"/>
          <w:lang w:val="en-US" w:eastAsia="zh-CN"/>
        </w:rPr>
        <w:t>工作的过程质量管理，对</w:t>
      </w:r>
      <w:r>
        <w:rPr>
          <w:rFonts w:hint="eastAsia" w:cs="Times New Roman"/>
          <w:b w:val="0"/>
          <w:color w:val="auto"/>
          <w:sz w:val="24"/>
          <w:szCs w:val="24"/>
          <w:lang w:val="en-US" w:eastAsia="zh-CN"/>
        </w:rPr>
        <w:t>治理施工</w:t>
      </w:r>
      <w:r>
        <w:rPr>
          <w:rFonts w:hint="default" w:ascii="Times New Roman" w:hAnsi="Times New Roman" w:cs="Times New Roman"/>
          <w:b w:val="0"/>
          <w:color w:val="auto"/>
          <w:sz w:val="24"/>
          <w:szCs w:val="24"/>
          <w:lang w:val="en-US" w:eastAsia="zh-CN"/>
        </w:rPr>
        <w:t>验收流程要求如下：</w:t>
      </w:r>
    </w:p>
    <w:p>
      <w:pPr>
        <w:pStyle w:val="7"/>
        <w:keepNext w:val="0"/>
        <w:keepLines w:val="0"/>
        <w:pageBreakBefore w:val="0"/>
        <w:widowControl w:val="0"/>
        <w:numPr>
          <w:ilvl w:val="0"/>
          <w:numId w:val="4"/>
        </w:numPr>
        <w:tabs>
          <w:tab w:val="left" w:pos="170"/>
          <w:tab w:val="left" w:pos="851"/>
        </w:tabs>
        <w:kinsoku/>
        <w:wordWrap/>
        <w:overflowPunct/>
        <w:topLinePunct w:val="0"/>
        <w:autoSpaceDE/>
        <w:autoSpaceDN/>
        <w:bidi w:val="0"/>
        <w:adjustRightInd/>
        <w:snapToGrid/>
        <w:spacing w:before="0" w:after="0" w:line="360" w:lineRule="auto"/>
        <w:ind w:firstLine="480" w:firstLineChars="200"/>
        <w:jc w:val="left"/>
        <w:textAlignment w:val="auto"/>
        <w:rPr>
          <w:rFonts w:hint="default" w:ascii="Times New Roman" w:hAnsi="Times New Roman" w:cs="Times New Roman"/>
          <w:b w:val="0"/>
          <w:color w:val="auto"/>
          <w:sz w:val="24"/>
          <w:szCs w:val="24"/>
          <w:lang w:val="en-US" w:eastAsia="zh-CN"/>
        </w:rPr>
      </w:pPr>
      <w:r>
        <w:rPr>
          <w:rFonts w:hint="eastAsia" w:cs="Times New Roman"/>
          <w:b w:val="0"/>
          <w:color w:val="auto"/>
          <w:sz w:val="24"/>
          <w:szCs w:val="24"/>
          <w:lang w:val="en-US" w:eastAsia="zh-CN"/>
        </w:rPr>
        <w:t>招标方对脱硫系统治理的钢制安全防护栏杆、平台及斜梯（直梯）等设施施工</w:t>
      </w:r>
      <w:r>
        <w:rPr>
          <w:rFonts w:hint="default" w:ascii="Times New Roman" w:hAnsi="Times New Roman" w:cs="Times New Roman"/>
          <w:b w:val="0"/>
          <w:color w:val="auto"/>
          <w:sz w:val="24"/>
          <w:szCs w:val="24"/>
          <w:lang w:val="en-US" w:eastAsia="zh-CN"/>
        </w:rPr>
        <w:t>工作进行分步布置、验收和签字确认。</w:t>
      </w:r>
    </w:p>
    <w:p>
      <w:pPr>
        <w:pStyle w:val="7"/>
        <w:keepNext w:val="0"/>
        <w:keepLines w:val="0"/>
        <w:pageBreakBefore w:val="0"/>
        <w:widowControl w:val="0"/>
        <w:numPr>
          <w:ilvl w:val="0"/>
          <w:numId w:val="4"/>
        </w:numPr>
        <w:tabs>
          <w:tab w:val="left" w:pos="170"/>
          <w:tab w:val="left" w:pos="851"/>
        </w:tabs>
        <w:kinsoku/>
        <w:wordWrap/>
        <w:overflowPunct/>
        <w:topLinePunct w:val="0"/>
        <w:autoSpaceDE/>
        <w:autoSpaceDN/>
        <w:bidi w:val="0"/>
        <w:adjustRightInd/>
        <w:snapToGrid/>
        <w:spacing w:before="0" w:after="0" w:line="360" w:lineRule="auto"/>
        <w:ind w:firstLine="480" w:firstLineChars="200"/>
        <w:jc w:val="left"/>
        <w:textAlignment w:val="auto"/>
        <w:rPr>
          <w:rFonts w:hint="default" w:cs="Times New Roman"/>
          <w:b w:val="0"/>
          <w:color w:val="auto"/>
          <w:sz w:val="24"/>
          <w:szCs w:val="24"/>
          <w:lang w:val="en-US" w:eastAsia="zh-CN"/>
        </w:rPr>
      </w:pPr>
      <w:r>
        <w:rPr>
          <w:rFonts w:hint="eastAsia" w:cs="Times New Roman"/>
          <w:b w:val="0"/>
          <w:color w:val="auto"/>
          <w:sz w:val="24"/>
          <w:szCs w:val="24"/>
          <w:lang w:val="en-US" w:eastAsia="zh-CN"/>
        </w:rPr>
        <w:t>脱硫系统的钢制安全防护栏杆、平台及斜梯（直梯）等设施治理施</w:t>
      </w:r>
      <w:r>
        <w:rPr>
          <w:rFonts w:hint="default" w:cs="Times New Roman"/>
          <w:b w:val="0"/>
          <w:color w:val="auto"/>
          <w:sz w:val="24"/>
          <w:szCs w:val="24"/>
          <w:lang w:val="en-US" w:eastAsia="zh-CN"/>
        </w:rPr>
        <w:t>工由招标方的生产技术部根据合同（或技术协议）下发</w:t>
      </w:r>
      <w:r>
        <w:rPr>
          <w:rFonts w:hint="eastAsia" w:cs="Times New Roman"/>
          <w:b w:val="0"/>
          <w:color w:val="auto"/>
          <w:sz w:val="24"/>
          <w:szCs w:val="24"/>
          <w:lang w:val="en-US" w:eastAsia="zh-CN"/>
        </w:rPr>
        <w:t>治理施工</w:t>
      </w:r>
      <w:r>
        <w:rPr>
          <w:rFonts w:hint="default" w:cs="Times New Roman"/>
          <w:b w:val="0"/>
          <w:color w:val="auto"/>
          <w:sz w:val="24"/>
          <w:szCs w:val="24"/>
          <w:lang w:val="en-US" w:eastAsia="zh-CN"/>
        </w:rPr>
        <w:t>工作任务单交给招标方的设备维修部及投标方执行，并组织安全技术交底工作。</w:t>
      </w:r>
    </w:p>
    <w:p>
      <w:pPr>
        <w:pStyle w:val="7"/>
        <w:keepNext w:val="0"/>
        <w:keepLines w:val="0"/>
        <w:pageBreakBefore w:val="0"/>
        <w:widowControl w:val="0"/>
        <w:numPr>
          <w:ilvl w:val="0"/>
          <w:numId w:val="4"/>
        </w:numPr>
        <w:tabs>
          <w:tab w:val="left" w:pos="170"/>
          <w:tab w:val="left" w:pos="851"/>
        </w:tabs>
        <w:kinsoku/>
        <w:wordWrap/>
        <w:overflowPunct/>
        <w:topLinePunct w:val="0"/>
        <w:autoSpaceDE/>
        <w:autoSpaceDN/>
        <w:bidi w:val="0"/>
        <w:adjustRightInd/>
        <w:snapToGrid/>
        <w:spacing w:before="0" w:after="0" w:line="360" w:lineRule="auto"/>
        <w:ind w:firstLine="480" w:firstLineChars="200"/>
        <w:jc w:val="left"/>
        <w:textAlignment w:val="auto"/>
        <w:rPr>
          <w:rFonts w:hint="default" w:cs="Times New Roman"/>
          <w:b w:val="0"/>
          <w:color w:val="auto"/>
          <w:sz w:val="24"/>
          <w:szCs w:val="24"/>
          <w:lang w:val="en-US" w:eastAsia="zh-CN"/>
        </w:rPr>
      </w:pPr>
      <w:r>
        <w:rPr>
          <w:rFonts w:hint="eastAsia" w:cs="Times New Roman"/>
          <w:b w:val="0"/>
          <w:color w:val="auto"/>
          <w:sz w:val="24"/>
          <w:szCs w:val="24"/>
          <w:lang w:val="en-US" w:eastAsia="zh-CN"/>
        </w:rPr>
        <w:t>治理施工范围内的钢制安全防护栏杆、平台及斜梯（直梯）等设施更换或者补强施工完毕</w:t>
      </w:r>
      <w:r>
        <w:rPr>
          <w:rFonts w:hint="default" w:cs="Times New Roman"/>
          <w:b w:val="0"/>
          <w:color w:val="auto"/>
          <w:sz w:val="24"/>
          <w:szCs w:val="24"/>
          <w:lang w:val="en-US" w:eastAsia="zh-CN"/>
        </w:rPr>
        <w:t>，投标方应先内部验收合格后，通知招标方对</w:t>
      </w:r>
      <w:r>
        <w:rPr>
          <w:rFonts w:hint="eastAsia" w:cs="Times New Roman"/>
          <w:b w:val="0"/>
          <w:color w:val="auto"/>
          <w:sz w:val="24"/>
          <w:szCs w:val="24"/>
          <w:lang w:val="en-US" w:eastAsia="zh-CN"/>
        </w:rPr>
        <w:t>更换或者补强</w:t>
      </w:r>
      <w:r>
        <w:rPr>
          <w:rFonts w:hint="default" w:cs="Times New Roman"/>
          <w:b w:val="0"/>
          <w:color w:val="auto"/>
          <w:sz w:val="24"/>
          <w:szCs w:val="24"/>
          <w:lang w:val="en-US" w:eastAsia="zh-CN"/>
        </w:rPr>
        <w:t>情况进行质量验收</w:t>
      </w:r>
      <w:r>
        <w:rPr>
          <w:rFonts w:hint="eastAsia" w:cs="Times New Roman"/>
          <w:b w:val="0"/>
          <w:color w:val="auto"/>
          <w:sz w:val="24"/>
          <w:szCs w:val="24"/>
          <w:lang w:val="en-US" w:eastAsia="zh-CN"/>
        </w:rPr>
        <w:t>。焊缝不能出现裂纹、未满焊、根部收缩、咬边、电弧擦伤、接头不良、表面气孔、表面夹渣等；安装后的防护栏杆及钢平台等应平直，铺板应平整，不应有歪斜、扭曲、变形及其他缺陷。安转后的梯子不应有歪斜、扭曲、变形及其他缺陷。</w:t>
      </w:r>
      <w:r>
        <w:rPr>
          <w:rFonts w:hint="default" w:cs="Times New Roman"/>
          <w:b w:val="0"/>
          <w:color w:val="auto"/>
          <w:sz w:val="24"/>
          <w:szCs w:val="24"/>
          <w:lang w:val="en-US" w:eastAsia="zh-CN"/>
        </w:rPr>
        <w:t>验收完成后应</w:t>
      </w:r>
      <w:r>
        <w:rPr>
          <w:rFonts w:hint="default" w:cs="Times New Roman"/>
          <w:b/>
          <w:bCs w:val="0"/>
          <w:color w:val="auto"/>
          <w:sz w:val="24"/>
          <w:szCs w:val="24"/>
          <w:lang w:val="en-US" w:eastAsia="zh-CN"/>
        </w:rPr>
        <w:t>签字确认</w:t>
      </w:r>
      <w:r>
        <w:rPr>
          <w:rFonts w:hint="default" w:cs="Times New Roman"/>
          <w:b w:val="0"/>
          <w:color w:val="auto"/>
          <w:sz w:val="24"/>
          <w:szCs w:val="24"/>
          <w:lang w:val="en-US" w:eastAsia="zh-CN"/>
        </w:rPr>
        <w:t>。</w:t>
      </w:r>
    </w:p>
    <w:p>
      <w:pPr>
        <w:pStyle w:val="7"/>
        <w:keepNext w:val="0"/>
        <w:keepLines w:val="0"/>
        <w:pageBreakBefore w:val="0"/>
        <w:widowControl w:val="0"/>
        <w:numPr>
          <w:ilvl w:val="0"/>
          <w:numId w:val="4"/>
        </w:numPr>
        <w:tabs>
          <w:tab w:val="left" w:pos="170"/>
          <w:tab w:val="left" w:pos="851"/>
        </w:tabs>
        <w:kinsoku/>
        <w:wordWrap/>
        <w:overflowPunct/>
        <w:topLinePunct w:val="0"/>
        <w:autoSpaceDE/>
        <w:autoSpaceDN/>
        <w:bidi w:val="0"/>
        <w:adjustRightInd/>
        <w:snapToGrid/>
        <w:spacing w:before="0" w:after="0" w:line="360" w:lineRule="auto"/>
        <w:ind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招标方管理部门可随时对</w:t>
      </w:r>
      <w:r>
        <w:rPr>
          <w:rFonts w:hint="eastAsia" w:cs="Times New Roman"/>
          <w:b w:val="0"/>
          <w:color w:val="auto"/>
          <w:sz w:val="24"/>
          <w:szCs w:val="24"/>
          <w:lang w:val="en-US" w:eastAsia="zh-CN"/>
        </w:rPr>
        <w:t>栏杆、平台、及斜梯（直梯）等治理工作</w:t>
      </w:r>
      <w:r>
        <w:rPr>
          <w:rFonts w:hint="default" w:cs="Times New Roman"/>
          <w:b w:val="0"/>
          <w:color w:val="auto"/>
          <w:sz w:val="24"/>
          <w:szCs w:val="24"/>
          <w:lang w:val="en-US" w:eastAsia="zh-CN"/>
        </w:rPr>
        <w:t>的签证情况进行抽查，</w:t>
      </w:r>
      <w:r>
        <w:rPr>
          <w:rFonts w:hint="eastAsia" w:cs="Times New Roman"/>
          <w:b w:val="0"/>
          <w:color w:val="auto"/>
          <w:sz w:val="24"/>
          <w:szCs w:val="24"/>
          <w:lang w:val="en-US" w:eastAsia="zh-CN"/>
        </w:rPr>
        <w:t>未通过招标方质量验收的，视为施工质量不合格，投标方应按规范整改直至通过招标方质量验收</w:t>
      </w:r>
      <w:r>
        <w:rPr>
          <w:rFonts w:hint="default" w:cs="Times New Roman"/>
          <w:b w:val="0"/>
          <w:color w:val="auto"/>
          <w:sz w:val="24"/>
          <w:szCs w:val="24"/>
          <w:lang w:val="en-US" w:eastAsia="zh-CN"/>
        </w:rPr>
        <w:t>。</w:t>
      </w:r>
    </w:p>
    <w:p>
      <w:pPr>
        <w:pStyle w:val="6"/>
        <w:keepNext w:val="0"/>
        <w:keepLines w:val="0"/>
        <w:numPr>
          <w:ilvl w:val="3"/>
          <w:numId w:val="3"/>
        </w:numPr>
        <w:tabs>
          <w:tab w:val="left" w:pos="567"/>
          <w:tab w:val="clear" w:pos="600"/>
        </w:tabs>
        <w:kinsoku w:val="0"/>
        <w:spacing w:before="163" w:beforeLines="50" w:after="163" w:afterLines="50" w:line="360" w:lineRule="auto"/>
        <w:ind w:left="0" w:firstLine="0"/>
        <w:jc w:val="left"/>
        <w:rPr>
          <w:rFonts w:hint="default" w:ascii="Times New Roman" w:hAnsi="Times New Roman" w:eastAsia="黑体" w:cs="Times New Roman"/>
          <w:b w:val="0"/>
          <w:color w:val="auto"/>
          <w:spacing w:val="0"/>
          <w:sz w:val="24"/>
          <w:szCs w:val="24"/>
        </w:rPr>
      </w:pPr>
      <w:r>
        <w:rPr>
          <w:rFonts w:hint="default" w:ascii="Times New Roman" w:hAnsi="Times New Roman" w:eastAsia="黑体" w:cs="Times New Roman"/>
          <w:b w:val="0"/>
          <w:color w:val="auto"/>
          <w:spacing w:val="0"/>
          <w:sz w:val="24"/>
          <w:szCs w:val="24"/>
        </w:rPr>
        <w:t>质量保证期</w:t>
      </w:r>
    </w:p>
    <w:p>
      <w:pPr>
        <w:pStyle w:val="7"/>
        <w:keepNext w:val="0"/>
        <w:keepLines w:val="0"/>
        <w:pageBreakBefore w:val="0"/>
        <w:widowControl w:val="0"/>
        <w:numPr>
          <w:ilvl w:val="0"/>
          <w:numId w:val="0"/>
        </w:numPr>
        <w:tabs>
          <w:tab w:val="left" w:pos="170"/>
          <w:tab w:val="left" w:pos="840"/>
        </w:tabs>
        <w:kinsoku/>
        <w:wordWrap/>
        <w:overflowPunct/>
        <w:topLinePunct w:val="0"/>
        <w:autoSpaceDE/>
        <w:autoSpaceDN/>
        <w:bidi w:val="0"/>
        <w:adjustRightInd/>
        <w:snapToGrid/>
        <w:spacing w:before="0" w:after="0" w:line="360" w:lineRule="auto"/>
        <w:ind w:firstLine="480" w:firstLineChars="200"/>
        <w:jc w:val="left"/>
        <w:textAlignment w:val="auto"/>
        <w:rPr>
          <w:rFonts w:hint="default" w:cs="Times New Roman"/>
          <w:b w:val="0"/>
          <w:color w:val="auto"/>
          <w:sz w:val="24"/>
          <w:szCs w:val="24"/>
          <w:lang w:val="en-US" w:eastAsia="zh-CN"/>
        </w:rPr>
      </w:pPr>
      <w:r>
        <w:rPr>
          <w:rFonts w:hint="eastAsia" w:cs="Times New Roman"/>
          <w:b w:val="0"/>
          <w:color w:val="auto"/>
          <w:sz w:val="24"/>
          <w:szCs w:val="24"/>
          <w:lang w:val="en-US" w:eastAsia="zh-CN"/>
        </w:rPr>
        <w:t>质量保证期为本项目竣工后1年。在质量保证期内，治理的的钢制安全防护栏杆、平台及斜梯（直梯）等设施不得出现开焊、脱焊等情况。</w:t>
      </w:r>
    </w:p>
    <w:p>
      <w:pPr>
        <w:pStyle w:val="6"/>
        <w:keepNext w:val="0"/>
        <w:keepLines w:val="0"/>
        <w:numPr>
          <w:ilvl w:val="3"/>
          <w:numId w:val="3"/>
        </w:numPr>
        <w:tabs>
          <w:tab w:val="left" w:pos="567"/>
          <w:tab w:val="clear" w:pos="600"/>
        </w:tabs>
        <w:kinsoku w:val="0"/>
        <w:spacing w:before="163" w:beforeLines="50" w:after="163" w:afterLines="50" w:line="360" w:lineRule="auto"/>
        <w:ind w:left="0" w:firstLine="0"/>
        <w:jc w:val="left"/>
        <w:rPr>
          <w:rFonts w:hint="default" w:ascii="Times New Roman" w:hAnsi="Times New Roman" w:eastAsia="黑体" w:cs="Times New Roman"/>
          <w:b w:val="0"/>
          <w:color w:val="auto"/>
          <w:spacing w:val="0"/>
          <w:sz w:val="24"/>
          <w:szCs w:val="24"/>
        </w:rPr>
      </w:pPr>
      <w:r>
        <w:rPr>
          <w:rFonts w:hint="default" w:ascii="Times New Roman" w:hAnsi="Times New Roman" w:eastAsia="黑体" w:cs="Times New Roman"/>
          <w:b w:val="0"/>
          <w:color w:val="auto"/>
          <w:spacing w:val="0"/>
          <w:sz w:val="24"/>
          <w:szCs w:val="24"/>
        </w:rPr>
        <w:t>工期</w:t>
      </w:r>
    </w:p>
    <w:p>
      <w:pPr>
        <w:pStyle w:val="7"/>
        <w:keepNext w:val="0"/>
        <w:keepLines w:val="0"/>
        <w:numPr>
          <w:ilvl w:val="4"/>
          <w:numId w:val="3"/>
        </w:numPr>
        <w:tabs>
          <w:tab w:val="left" w:pos="170"/>
          <w:tab w:val="left" w:pos="840"/>
        </w:tabs>
        <w:spacing w:before="0" w:after="0" w:line="360" w:lineRule="auto"/>
        <w:ind w:left="0" w:firstLine="0"/>
        <w:jc w:val="left"/>
        <w:rPr>
          <w:rFonts w:hint="default" w:cs="Times New Roman"/>
          <w:b w:val="0"/>
          <w:color w:val="auto"/>
          <w:sz w:val="24"/>
          <w:szCs w:val="24"/>
          <w:lang w:val="en-US" w:eastAsia="zh-CN"/>
        </w:rPr>
      </w:pPr>
      <w:r>
        <w:rPr>
          <w:rFonts w:hint="eastAsia" w:cs="Times New Roman"/>
          <w:b w:val="0"/>
          <w:color w:val="auto"/>
          <w:sz w:val="24"/>
          <w:szCs w:val="24"/>
          <w:lang w:val="en-US" w:eastAsia="zh-CN"/>
        </w:rPr>
        <w:t>钢制安全防护栏杆、平台及斜梯（直梯）等设施治理项目</w:t>
      </w:r>
      <w:r>
        <w:rPr>
          <w:rFonts w:hint="default" w:cs="Times New Roman"/>
          <w:b w:val="0"/>
          <w:color w:val="auto"/>
          <w:sz w:val="24"/>
          <w:szCs w:val="24"/>
          <w:lang w:val="en-US" w:eastAsia="zh-CN"/>
        </w:rPr>
        <w:t>施工截止日期：202</w:t>
      </w:r>
      <w:r>
        <w:rPr>
          <w:rFonts w:hint="eastAsia" w:cs="Times New Roman"/>
          <w:b w:val="0"/>
          <w:color w:val="auto"/>
          <w:sz w:val="24"/>
          <w:szCs w:val="24"/>
          <w:lang w:val="en-US" w:eastAsia="zh-CN"/>
        </w:rPr>
        <w:t>4</w:t>
      </w:r>
      <w:r>
        <w:rPr>
          <w:rFonts w:hint="default" w:cs="Times New Roman"/>
          <w:b w:val="0"/>
          <w:color w:val="auto"/>
          <w:sz w:val="24"/>
          <w:szCs w:val="24"/>
          <w:lang w:val="en-US" w:eastAsia="zh-CN"/>
        </w:rPr>
        <w:t>年</w:t>
      </w:r>
      <w:r>
        <w:rPr>
          <w:rFonts w:hint="eastAsia" w:cs="Times New Roman"/>
          <w:b w:val="0"/>
          <w:color w:val="auto"/>
          <w:sz w:val="24"/>
          <w:szCs w:val="24"/>
          <w:lang w:val="en-US" w:eastAsia="zh-CN"/>
        </w:rPr>
        <w:t>8</w:t>
      </w:r>
      <w:r>
        <w:rPr>
          <w:rFonts w:hint="default" w:cs="Times New Roman"/>
          <w:b w:val="0"/>
          <w:color w:val="auto"/>
          <w:sz w:val="24"/>
          <w:szCs w:val="24"/>
          <w:lang w:val="en-US" w:eastAsia="zh-CN"/>
        </w:rPr>
        <w:t>月31日。</w:t>
      </w:r>
    </w:p>
    <w:p>
      <w:pPr>
        <w:pStyle w:val="7"/>
        <w:keepNext w:val="0"/>
        <w:keepLines w:val="0"/>
        <w:numPr>
          <w:ilvl w:val="4"/>
          <w:numId w:val="3"/>
        </w:numPr>
        <w:tabs>
          <w:tab w:val="left" w:pos="170"/>
          <w:tab w:val="left" w:pos="840"/>
        </w:tabs>
        <w:spacing w:before="0" w:after="0" w:line="360" w:lineRule="auto"/>
        <w:ind w:left="0" w:firstLine="0"/>
        <w:jc w:val="left"/>
        <w:rPr>
          <w:rFonts w:hint="default" w:cs="Times New Roman"/>
          <w:b w:val="0"/>
          <w:color w:val="auto"/>
          <w:sz w:val="24"/>
          <w:szCs w:val="24"/>
          <w:lang w:val="en-US" w:eastAsia="zh-CN"/>
        </w:rPr>
      </w:pPr>
      <w:r>
        <w:rPr>
          <w:rFonts w:hint="default" w:cs="Times New Roman"/>
          <w:b w:val="0"/>
          <w:color w:val="auto"/>
          <w:sz w:val="24"/>
          <w:szCs w:val="24"/>
          <w:lang w:val="en-US" w:eastAsia="zh-CN"/>
        </w:rPr>
        <w:t>投标方进场时间由招标方提前一周通知，施工时间</w:t>
      </w:r>
      <w:r>
        <w:rPr>
          <w:rFonts w:hint="eastAsia" w:cs="Times New Roman"/>
          <w:b w:val="0"/>
          <w:color w:val="auto"/>
          <w:sz w:val="24"/>
          <w:szCs w:val="24"/>
          <w:lang w:val="en-US" w:eastAsia="zh-CN"/>
        </w:rPr>
        <w:t>原则上是在合同签订后2个月内完成，同时不得突破第6.3.1条规定</w:t>
      </w:r>
      <w:r>
        <w:rPr>
          <w:rFonts w:hint="default" w:cs="Times New Roman"/>
          <w:b w:val="0"/>
          <w:color w:val="auto"/>
          <w:sz w:val="24"/>
          <w:szCs w:val="24"/>
          <w:lang w:val="en-US" w:eastAsia="zh-CN"/>
        </w:rPr>
        <w:t>。</w:t>
      </w:r>
    </w:p>
    <w:p>
      <w:pPr>
        <w:pStyle w:val="6"/>
        <w:keepNext w:val="0"/>
        <w:keepLines w:val="0"/>
        <w:numPr>
          <w:ilvl w:val="3"/>
          <w:numId w:val="3"/>
        </w:numPr>
        <w:tabs>
          <w:tab w:val="left" w:pos="567"/>
          <w:tab w:val="clear" w:pos="600"/>
        </w:tabs>
        <w:kinsoku w:val="0"/>
        <w:spacing w:before="163" w:beforeLines="50" w:after="163" w:afterLines="50" w:line="360" w:lineRule="auto"/>
        <w:ind w:left="0" w:firstLine="0"/>
        <w:jc w:val="left"/>
        <w:rPr>
          <w:rFonts w:hint="default" w:ascii="Times New Roman" w:hAnsi="Times New Roman" w:eastAsia="黑体" w:cs="Times New Roman"/>
          <w:b w:val="0"/>
          <w:color w:val="auto"/>
          <w:spacing w:val="0"/>
          <w:sz w:val="24"/>
          <w:szCs w:val="24"/>
        </w:rPr>
      </w:pPr>
      <w:r>
        <w:rPr>
          <w:rFonts w:hint="default" w:ascii="Times New Roman" w:hAnsi="Times New Roman" w:eastAsia="黑体" w:cs="Times New Roman"/>
          <w:b w:val="0"/>
          <w:color w:val="auto"/>
          <w:spacing w:val="0"/>
          <w:sz w:val="24"/>
          <w:szCs w:val="24"/>
        </w:rPr>
        <w:t>资料要求</w:t>
      </w:r>
    </w:p>
    <w:p>
      <w:pPr>
        <w:pStyle w:val="7"/>
        <w:keepNext w:val="0"/>
        <w:keepLines w:val="0"/>
        <w:pageBreakBefore w:val="0"/>
        <w:widowControl w:val="0"/>
        <w:numPr>
          <w:ilvl w:val="0"/>
          <w:numId w:val="0"/>
        </w:numPr>
        <w:tabs>
          <w:tab w:val="left" w:pos="170"/>
          <w:tab w:val="left" w:pos="851"/>
        </w:tabs>
        <w:kinsoku/>
        <w:wordWrap/>
        <w:overflowPunct/>
        <w:topLinePunct w:val="0"/>
        <w:autoSpaceDE/>
        <w:autoSpaceDN/>
        <w:bidi w:val="0"/>
        <w:adjustRightInd/>
        <w:snapToGrid/>
        <w:spacing w:before="0" w:after="0" w:line="360" w:lineRule="auto"/>
        <w:ind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投标方应在竣工验收后</w:t>
      </w:r>
      <w:r>
        <w:rPr>
          <w:rFonts w:hint="eastAsia" w:cs="Times New Roman"/>
          <w:b w:val="0"/>
          <w:color w:val="auto"/>
          <w:sz w:val="24"/>
          <w:szCs w:val="24"/>
          <w:lang w:val="en-US" w:eastAsia="zh-CN"/>
        </w:rPr>
        <w:t>10个工作日</w:t>
      </w:r>
      <w:r>
        <w:rPr>
          <w:rFonts w:hint="default" w:cs="Times New Roman"/>
          <w:b w:val="0"/>
          <w:color w:val="auto"/>
          <w:sz w:val="24"/>
          <w:szCs w:val="24"/>
          <w:lang w:val="en-US" w:eastAsia="zh-CN"/>
        </w:rPr>
        <w:t>内向招标方提供竣工资料，按</w:t>
      </w:r>
      <w:r>
        <w:rPr>
          <w:rFonts w:hint="eastAsia" w:cs="Times New Roman"/>
          <w:b w:val="0"/>
          <w:color w:val="auto"/>
          <w:sz w:val="24"/>
          <w:szCs w:val="24"/>
          <w:lang w:val="en-US" w:eastAsia="zh-CN"/>
        </w:rPr>
        <w:t>照招标方</w:t>
      </w:r>
      <w:r>
        <w:rPr>
          <w:rFonts w:hint="default" w:cs="Times New Roman"/>
          <w:b w:val="0"/>
          <w:color w:val="auto"/>
          <w:sz w:val="24"/>
          <w:szCs w:val="24"/>
          <w:lang w:val="en-US" w:eastAsia="zh-CN"/>
        </w:rPr>
        <w:t>要求归档；竣工资料不完整或不符合要求，不结算付款。</w:t>
      </w:r>
    </w:p>
    <w:p>
      <w:pPr>
        <w:pStyle w:val="7"/>
        <w:keepNext w:val="0"/>
        <w:keepLines w:val="0"/>
        <w:numPr>
          <w:ilvl w:val="4"/>
          <w:numId w:val="3"/>
        </w:numPr>
        <w:tabs>
          <w:tab w:val="left" w:pos="170"/>
          <w:tab w:val="left" w:pos="840"/>
        </w:tabs>
        <w:spacing w:before="0" w:after="0" w:line="360" w:lineRule="auto"/>
        <w:ind w:left="0" w:firstLine="0"/>
        <w:jc w:val="left"/>
        <w:rPr>
          <w:rFonts w:hint="default" w:cs="Times New Roman"/>
          <w:b w:val="0"/>
          <w:color w:val="auto"/>
          <w:sz w:val="24"/>
          <w:szCs w:val="24"/>
          <w:lang w:val="en-US" w:eastAsia="zh-CN"/>
        </w:rPr>
      </w:pPr>
      <w:r>
        <w:rPr>
          <w:rFonts w:hint="default" w:cs="Times New Roman"/>
          <w:b w:val="0"/>
          <w:color w:val="auto"/>
          <w:sz w:val="24"/>
          <w:szCs w:val="24"/>
          <w:lang w:val="en-US" w:eastAsia="zh-CN"/>
        </w:rPr>
        <w:t>竣工资料：过程监督签证单，施工</w:t>
      </w:r>
      <w:r>
        <w:rPr>
          <w:rFonts w:hint="eastAsia" w:cs="Times New Roman"/>
          <w:b w:val="0"/>
          <w:color w:val="auto"/>
          <w:sz w:val="24"/>
          <w:szCs w:val="24"/>
          <w:lang w:val="en-US" w:eastAsia="zh-CN"/>
        </w:rPr>
        <w:t>方案（包括</w:t>
      </w:r>
      <w:r>
        <w:rPr>
          <w:rFonts w:hint="default" w:cs="Times New Roman"/>
          <w:b w:val="0"/>
          <w:color w:val="auto"/>
          <w:sz w:val="24"/>
          <w:szCs w:val="24"/>
          <w:lang w:val="en-US" w:eastAsia="zh-CN"/>
        </w:rPr>
        <w:t>组织措施、技术措施、安全措施</w:t>
      </w:r>
      <w:r>
        <w:rPr>
          <w:rFonts w:hint="eastAsia" w:cs="Times New Roman"/>
          <w:b w:val="0"/>
          <w:color w:val="auto"/>
          <w:sz w:val="24"/>
          <w:szCs w:val="24"/>
          <w:lang w:val="en-US" w:eastAsia="zh-CN"/>
        </w:rPr>
        <w:t>等）</w:t>
      </w:r>
      <w:r>
        <w:rPr>
          <w:rFonts w:hint="default" w:cs="Times New Roman"/>
          <w:b w:val="0"/>
          <w:color w:val="auto"/>
          <w:sz w:val="24"/>
          <w:szCs w:val="24"/>
          <w:lang w:val="en-US" w:eastAsia="zh-CN"/>
        </w:rPr>
        <w:t>一式</w:t>
      </w:r>
      <w:r>
        <w:rPr>
          <w:rFonts w:hint="eastAsia" w:cs="Times New Roman"/>
          <w:b w:val="0"/>
          <w:color w:val="auto"/>
          <w:sz w:val="24"/>
          <w:szCs w:val="24"/>
          <w:lang w:val="en-US" w:eastAsia="zh-CN"/>
        </w:rPr>
        <w:t>三</w:t>
      </w:r>
      <w:r>
        <w:rPr>
          <w:rFonts w:hint="default" w:cs="Times New Roman"/>
          <w:b w:val="0"/>
          <w:color w:val="auto"/>
          <w:sz w:val="24"/>
          <w:szCs w:val="24"/>
          <w:lang w:val="en-US" w:eastAsia="zh-CN"/>
        </w:rPr>
        <w:t>份。</w:t>
      </w:r>
    </w:p>
    <w:p>
      <w:pPr>
        <w:keepNext/>
        <w:widowControl w:val="0"/>
        <w:numPr>
          <w:ilvl w:val="2"/>
          <w:numId w:val="3"/>
        </w:numPr>
        <w:tabs>
          <w:tab w:val="left" w:pos="420"/>
          <w:tab w:val="clear" w:pos="1021"/>
        </w:tabs>
        <w:adjustRightInd w:val="0"/>
        <w:spacing w:line="360" w:lineRule="auto"/>
        <w:ind w:left="0" w:firstLine="0"/>
        <w:jc w:val="left"/>
        <w:textAlignment w:val="baseline"/>
        <w:outlineLvl w:val="2"/>
        <w:rPr>
          <w:rFonts w:hint="default" w:ascii="Times New Roman" w:hAnsi="Times New Roman" w:eastAsia="黑体" w:cs="Times New Roman"/>
          <w:color w:val="000000"/>
          <w:spacing w:val="0"/>
          <w:kern w:val="2"/>
          <w:sz w:val="24"/>
          <w:szCs w:val="24"/>
          <w:lang w:val="en-US" w:eastAsia="zh-CN" w:bidi="ar-SA"/>
        </w:rPr>
      </w:pPr>
      <w:bookmarkStart w:id="29" w:name="_Toc14016_WPSOffice_Level1"/>
      <w:r>
        <w:rPr>
          <w:rFonts w:hint="eastAsia" w:eastAsia="黑体" w:cs="Times New Roman"/>
          <w:color w:val="000000"/>
          <w:spacing w:val="0"/>
          <w:kern w:val="2"/>
          <w:sz w:val="24"/>
          <w:szCs w:val="24"/>
          <w:lang w:val="en-US" w:eastAsia="zh-CN" w:bidi="ar-SA"/>
        </w:rPr>
        <w:t>双方的责任与义务</w:t>
      </w:r>
      <w:bookmarkEnd w:id="29"/>
    </w:p>
    <w:p>
      <w:pPr>
        <w:pStyle w:val="6"/>
        <w:keepNext w:val="0"/>
        <w:keepLines w:val="0"/>
        <w:numPr>
          <w:ilvl w:val="3"/>
          <w:numId w:val="3"/>
        </w:numPr>
        <w:tabs>
          <w:tab w:val="left" w:pos="567"/>
          <w:tab w:val="clear" w:pos="600"/>
        </w:tabs>
        <w:kinsoku w:val="0"/>
        <w:spacing w:before="163" w:beforeLines="50" w:after="163" w:afterLines="50" w:line="360" w:lineRule="auto"/>
        <w:ind w:left="0" w:firstLine="0"/>
        <w:jc w:val="left"/>
        <w:rPr>
          <w:rFonts w:hint="default" w:ascii="Times New Roman" w:hAnsi="Times New Roman" w:eastAsia="黑体" w:cs="Times New Roman"/>
          <w:b w:val="0"/>
          <w:color w:val="auto"/>
          <w:spacing w:val="0"/>
          <w:sz w:val="24"/>
          <w:szCs w:val="24"/>
        </w:rPr>
      </w:pPr>
      <w:r>
        <w:rPr>
          <w:rFonts w:hint="default" w:ascii="Times New Roman" w:hAnsi="Times New Roman" w:eastAsia="黑体" w:cs="Times New Roman"/>
          <w:b w:val="0"/>
          <w:color w:val="auto"/>
          <w:spacing w:val="0"/>
          <w:sz w:val="24"/>
          <w:szCs w:val="24"/>
        </w:rPr>
        <w:t>招标方的责任与义务</w:t>
      </w:r>
    </w:p>
    <w:p>
      <w:pPr>
        <w:pStyle w:val="7"/>
        <w:keepNext w:val="0"/>
        <w:keepLines w:val="0"/>
        <w:numPr>
          <w:ilvl w:val="4"/>
          <w:numId w:val="3"/>
        </w:numPr>
        <w:tabs>
          <w:tab w:val="left" w:pos="170"/>
          <w:tab w:val="left" w:pos="840"/>
        </w:tabs>
        <w:spacing w:before="0" w:after="0" w:line="360" w:lineRule="auto"/>
        <w:ind w:left="0" w:firstLine="0"/>
        <w:jc w:val="left"/>
        <w:rPr>
          <w:rFonts w:hint="default" w:cs="Times New Roman"/>
          <w:b w:val="0"/>
          <w:color w:val="auto"/>
          <w:sz w:val="24"/>
          <w:szCs w:val="24"/>
          <w:lang w:val="en-US" w:eastAsia="zh-CN"/>
        </w:rPr>
      </w:pPr>
      <w:r>
        <w:rPr>
          <w:rFonts w:hint="default" w:cs="Times New Roman"/>
          <w:b w:val="0"/>
          <w:color w:val="auto"/>
          <w:sz w:val="24"/>
          <w:szCs w:val="24"/>
          <w:lang w:val="en-US" w:eastAsia="zh-CN"/>
        </w:rPr>
        <w:t>招标方负责提供投标方施工所需电源接入点，电源容量满足投标方要求。</w:t>
      </w:r>
    </w:p>
    <w:p>
      <w:pPr>
        <w:pStyle w:val="7"/>
        <w:keepNext w:val="0"/>
        <w:keepLines w:val="0"/>
        <w:numPr>
          <w:ilvl w:val="4"/>
          <w:numId w:val="3"/>
        </w:numPr>
        <w:tabs>
          <w:tab w:val="left" w:pos="170"/>
          <w:tab w:val="left" w:pos="840"/>
        </w:tabs>
        <w:spacing w:before="0" w:after="0" w:line="360" w:lineRule="auto"/>
        <w:ind w:left="0" w:firstLine="0"/>
        <w:jc w:val="left"/>
        <w:rPr>
          <w:rFonts w:hint="default" w:cs="Times New Roman"/>
          <w:b w:val="0"/>
          <w:color w:val="auto"/>
          <w:sz w:val="24"/>
          <w:szCs w:val="24"/>
          <w:lang w:val="en-US" w:eastAsia="zh-CN"/>
        </w:rPr>
      </w:pPr>
      <w:r>
        <w:rPr>
          <w:rFonts w:hint="default" w:cs="Times New Roman"/>
          <w:b w:val="0"/>
          <w:color w:val="auto"/>
          <w:sz w:val="24"/>
          <w:szCs w:val="24"/>
          <w:lang w:val="en-US" w:eastAsia="zh-CN"/>
        </w:rPr>
        <w:t>招标方协助投标方对重型施工机械进行装卸车工作，并提供暂时存放保管场地。</w:t>
      </w:r>
    </w:p>
    <w:p>
      <w:pPr>
        <w:pStyle w:val="7"/>
        <w:keepNext w:val="0"/>
        <w:keepLines w:val="0"/>
        <w:numPr>
          <w:ilvl w:val="4"/>
          <w:numId w:val="3"/>
        </w:numPr>
        <w:tabs>
          <w:tab w:val="left" w:pos="170"/>
          <w:tab w:val="left" w:pos="840"/>
        </w:tabs>
        <w:spacing w:before="0" w:after="0" w:line="360" w:lineRule="auto"/>
        <w:ind w:left="0" w:firstLine="0"/>
        <w:jc w:val="left"/>
        <w:rPr>
          <w:rFonts w:hint="default" w:cs="Times New Roman"/>
          <w:b w:val="0"/>
          <w:color w:val="auto"/>
          <w:sz w:val="24"/>
          <w:szCs w:val="24"/>
          <w:lang w:val="en-US" w:eastAsia="zh-CN"/>
        </w:rPr>
      </w:pPr>
      <w:r>
        <w:rPr>
          <w:rFonts w:hint="default" w:cs="Times New Roman"/>
          <w:b w:val="0"/>
          <w:color w:val="auto"/>
          <w:sz w:val="24"/>
          <w:szCs w:val="24"/>
          <w:lang w:val="en-US" w:eastAsia="zh-CN"/>
        </w:rPr>
        <w:t>招标方为投标方提供施工期间设备和材料的临时堆放点。</w:t>
      </w:r>
    </w:p>
    <w:p>
      <w:pPr>
        <w:pStyle w:val="7"/>
        <w:keepNext w:val="0"/>
        <w:keepLines w:val="0"/>
        <w:numPr>
          <w:ilvl w:val="4"/>
          <w:numId w:val="3"/>
        </w:numPr>
        <w:tabs>
          <w:tab w:val="left" w:pos="170"/>
          <w:tab w:val="left" w:pos="840"/>
        </w:tabs>
        <w:spacing w:before="0" w:after="0" w:line="360" w:lineRule="auto"/>
        <w:ind w:left="0" w:firstLine="0"/>
        <w:jc w:val="left"/>
        <w:rPr>
          <w:rFonts w:hint="default" w:cs="Times New Roman"/>
          <w:b w:val="0"/>
          <w:color w:val="auto"/>
          <w:sz w:val="24"/>
          <w:szCs w:val="24"/>
          <w:lang w:val="en-US" w:eastAsia="zh-CN"/>
        </w:rPr>
      </w:pPr>
      <w:r>
        <w:rPr>
          <w:rFonts w:hint="default" w:cs="Times New Roman"/>
          <w:b w:val="0"/>
          <w:color w:val="auto"/>
          <w:sz w:val="24"/>
          <w:szCs w:val="24"/>
          <w:lang w:val="en-US" w:eastAsia="zh-CN"/>
        </w:rPr>
        <w:t>招标方向投标方提供需</w:t>
      </w:r>
      <w:r>
        <w:rPr>
          <w:rFonts w:hint="eastAsia" w:cs="Times New Roman"/>
          <w:b w:val="0"/>
          <w:color w:val="auto"/>
          <w:sz w:val="24"/>
          <w:szCs w:val="24"/>
          <w:lang w:val="en-US" w:eastAsia="zh-CN"/>
        </w:rPr>
        <w:t>治理设施的</w:t>
      </w:r>
      <w:r>
        <w:rPr>
          <w:rFonts w:hint="default" w:cs="Times New Roman"/>
          <w:b w:val="0"/>
          <w:color w:val="auto"/>
          <w:sz w:val="24"/>
          <w:szCs w:val="24"/>
          <w:lang w:val="en-US" w:eastAsia="zh-CN"/>
        </w:rPr>
        <w:t>图纸。</w:t>
      </w:r>
    </w:p>
    <w:p>
      <w:pPr>
        <w:pStyle w:val="7"/>
        <w:keepNext w:val="0"/>
        <w:keepLines w:val="0"/>
        <w:numPr>
          <w:ilvl w:val="4"/>
          <w:numId w:val="3"/>
        </w:numPr>
        <w:tabs>
          <w:tab w:val="left" w:pos="170"/>
          <w:tab w:val="left" w:pos="840"/>
        </w:tabs>
        <w:spacing w:before="0" w:after="0" w:line="360" w:lineRule="auto"/>
        <w:ind w:left="0" w:firstLine="0"/>
        <w:jc w:val="left"/>
        <w:rPr>
          <w:rFonts w:hint="default" w:cs="Times New Roman"/>
          <w:b w:val="0"/>
          <w:color w:val="auto"/>
          <w:sz w:val="24"/>
          <w:szCs w:val="24"/>
          <w:lang w:val="en-US" w:eastAsia="zh-CN"/>
        </w:rPr>
      </w:pPr>
      <w:r>
        <w:rPr>
          <w:rFonts w:hint="eastAsia" w:cs="Times New Roman"/>
          <w:b/>
          <w:bCs w:val="0"/>
          <w:color w:val="auto"/>
          <w:sz w:val="24"/>
          <w:szCs w:val="24"/>
          <w:lang w:val="en-US" w:eastAsia="zh-CN"/>
        </w:rPr>
        <w:t>招标方负责提供施工所需要材料，如钢管、槽钢、圆钢、扁钢、格栅板等。</w:t>
      </w:r>
    </w:p>
    <w:p>
      <w:pPr>
        <w:pStyle w:val="7"/>
        <w:keepNext w:val="0"/>
        <w:keepLines w:val="0"/>
        <w:numPr>
          <w:ilvl w:val="4"/>
          <w:numId w:val="3"/>
        </w:numPr>
        <w:tabs>
          <w:tab w:val="left" w:pos="170"/>
          <w:tab w:val="left" w:pos="840"/>
        </w:tabs>
        <w:spacing w:before="0" w:after="0" w:line="360" w:lineRule="auto"/>
        <w:ind w:left="0" w:firstLine="0"/>
        <w:jc w:val="left"/>
        <w:rPr>
          <w:rFonts w:hint="default" w:cs="Times New Roman"/>
          <w:b w:val="0"/>
          <w:color w:val="auto"/>
          <w:sz w:val="24"/>
          <w:szCs w:val="24"/>
          <w:lang w:val="en-US" w:eastAsia="zh-CN"/>
        </w:rPr>
      </w:pPr>
      <w:r>
        <w:rPr>
          <w:rFonts w:hint="eastAsia" w:cs="Times New Roman"/>
          <w:b w:val="0"/>
          <w:color w:val="auto"/>
          <w:sz w:val="24"/>
          <w:szCs w:val="24"/>
          <w:lang w:val="en-US" w:eastAsia="zh-CN"/>
        </w:rPr>
        <w:t>招</w:t>
      </w:r>
      <w:r>
        <w:rPr>
          <w:rFonts w:hint="default" w:cs="Times New Roman"/>
          <w:b w:val="0"/>
          <w:color w:val="auto"/>
          <w:sz w:val="24"/>
          <w:szCs w:val="24"/>
          <w:lang w:val="en-US" w:eastAsia="zh-CN"/>
        </w:rPr>
        <w:t>标方</w:t>
      </w:r>
      <w:r>
        <w:rPr>
          <w:rFonts w:hint="eastAsia" w:cs="Times New Roman"/>
          <w:b w:val="0"/>
          <w:color w:val="auto"/>
          <w:sz w:val="24"/>
          <w:szCs w:val="24"/>
          <w:lang w:val="en-US" w:eastAsia="zh-CN"/>
        </w:rPr>
        <w:t>负责治理施工</w:t>
      </w:r>
      <w:r>
        <w:rPr>
          <w:rFonts w:hint="default" w:cs="Times New Roman"/>
          <w:b w:val="0"/>
          <w:color w:val="auto"/>
          <w:sz w:val="24"/>
          <w:szCs w:val="24"/>
          <w:lang w:val="en-US" w:eastAsia="zh-CN"/>
        </w:rPr>
        <w:t>所需脚手架搭设等</w:t>
      </w:r>
      <w:r>
        <w:rPr>
          <w:rFonts w:hint="eastAsia" w:cs="Times New Roman"/>
          <w:b w:val="0"/>
          <w:color w:val="auto"/>
          <w:sz w:val="24"/>
          <w:szCs w:val="24"/>
          <w:lang w:val="en-US" w:eastAsia="zh-CN"/>
        </w:rPr>
        <w:t>工作</w:t>
      </w:r>
      <w:r>
        <w:rPr>
          <w:rFonts w:hint="default" w:cs="Times New Roman"/>
          <w:b w:val="0"/>
          <w:color w:val="auto"/>
          <w:sz w:val="24"/>
          <w:szCs w:val="24"/>
          <w:lang w:val="en-US" w:eastAsia="zh-CN"/>
        </w:rPr>
        <w:t>。</w:t>
      </w:r>
    </w:p>
    <w:p>
      <w:pPr>
        <w:pStyle w:val="6"/>
        <w:keepNext w:val="0"/>
        <w:keepLines w:val="0"/>
        <w:numPr>
          <w:ilvl w:val="3"/>
          <w:numId w:val="3"/>
        </w:numPr>
        <w:tabs>
          <w:tab w:val="left" w:pos="567"/>
          <w:tab w:val="clear" w:pos="600"/>
        </w:tabs>
        <w:kinsoku w:val="0"/>
        <w:spacing w:before="163" w:beforeLines="50" w:after="163" w:afterLines="50" w:line="360" w:lineRule="auto"/>
        <w:ind w:left="0" w:firstLine="0"/>
        <w:jc w:val="left"/>
        <w:rPr>
          <w:rFonts w:hint="default" w:cs="Times New Roman"/>
          <w:b w:val="0"/>
          <w:color w:val="auto"/>
          <w:sz w:val="24"/>
          <w:szCs w:val="24"/>
          <w:lang w:val="en-US" w:eastAsia="zh-CN"/>
        </w:rPr>
      </w:pPr>
      <w:r>
        <w:rPr>
          <w:rFonts w:hint="default" w:ascii="Times New Roman" w:hAnsi="Times New Roman" w:eastAsia="黑体" w:cs="Times New Roman"/>
          <w:b w:val="0"/>
          <w:color w:val="auto"/>
          <w:spacing w:val="0"/>
          <w:sz w:val="24"/>
          <w:szCs w:val="24"/>
        </w:rPr>
        <w:t>投标方的责任与义务</w:t>
      </w:r>
    </w:p>
    <w:p>
      <w:pPr>
        <w:pStyle w:val="7"/>
        <w:keepNext w:val="0"/>
        <w:keepLines w:val="0"/>
        <w:numPr>
          <w:ilvl w:val="4"/>
          <w:numId w:val="3"/>
        </w:numPr>
        <w:tabs>
          <w:tab w:val="left" w:pos="170"/>
          <w:tab w:val="left" w:pos="840"/>
        </w:tabs>
        <w:spacing w:before="0" w:after="0" w:line="360" w:lineRule="auto"/>
        <w:ind w:left="0" w:firstLine="0"/>
        <w:jc w:val="left"/>
        <w:rPr>
          <w:rFonts w:hint="default" w:cs="Times New Roman"/>
          <w:b w:val="0"/>
          <w:color w:val="auto"/>
          <w:sz w:val="24"/>
          <w:szCs w:val="24"/>
          <w:lang w:val="en-US" w:eastAsia="zh-CN"/>
        </w:rPr>
      </w:pPr>
      <w:r>
        <w:rPr>
          <w:rFonts w:hint="default" w:cs="Times New Roman"/>
          <w:b w:val="0"/>
          <w:color w:val="auto"/>
          <w:sz w:val="24"/>
          <w:szCs w:val="24"/>
          <w:lang w:val="en-US" w:eastAsia="zh-CN"/>
        </w:rPr>
        <w:t>电源接入点以后的电源连接线由投标方负责。</w:t>
      </w:r>
    </w:p>
    <w:p>
      <w:pPr>
        <w:pStyle w:val="7"/>
        <w:keepNext w:val="0"/>
        <w:keepLines w:val="0"/>
        <w:numPr>
          <w:ilvl w:val="4"/>
          <w:numId w:val="3"/>
        </w:numPr>
        <w:tabs>
          <w:tab w:val="left" w:pos="170"/>
          <w:tab w:val="left" w:pos="840"/>
        </w:tabs>
        <w:spacing w:before="0" w:after="0" w:line="360" w:lineRule="auto"/>
        <w:ind w:left="0" w:firstLine="0"/>
        <w:jc w:val="left"/>
        <w:rPr>
          <w:rFonts w:hint="default" w:cs="Times New Roman"/>
          <w:b w:val="0"/>
          <w:color w:val="auto"/>
          <w:sz w:val="24"/>
          <w:szCs w:val="24"/>
          <w:lang w:val="en-US" w:eastAsia="zh-CN"/>
        </w:rPr>
      </w:pPr>
      <w:r>
        <w:rPr>
          <w:rFonts w:hint="default" w:cs="Times New Roman"/>
          <w:b w:val="0"/>
          <w:color w:val="auto"/>
          <w:sz w:val="24"/>
          <w:szCs w:val="24"/>
          <w:lang w:val="en-US" w:eastAsia="zh-CN"/>
        </w:rPr>
        <w:t>现场施工</w:t>
      </w:r>
      <w:r>
        <w:rPr>
          <w:rFonts w:hint="eastAsia" w:cs="Times New Roman"/>
          <w:b w:val="0"/>
          <w:color w:val="auto"/>
          <w:sz w:val="24"/>
          <w:szCs w:val="24"/>
          <w:lang w:val="en-US" w:eastAsia="zh-CN"/>
        </w:rPr>
        <w:t>的</w:t>
      </w:r>
      <w:r>
        <w:rPr>
          <w:rFonts w:hint="default" w:cs="Times New Roman"/>
          <w:b w:val="0"/>
          <w:color w:val="auto"/>
          <w:sz w:val="24"/>
          <w:szCs w:val="24"/>
          <w:lang w:val="en-US" w:eastAsia="zh-CN"/>
        </w:rPr>
        <w:t>具体时间由招标方提前一星期通知投标方，投标方应在招标方通知规定时间内抵达四川泸州川南发电有限责任公司生产现场，按招标方同意的施工进度计划要求完成</w:t>
      </w:r>
      <w:r>
        <w:rPr>
          <w:rFonts w:hint="eastAsia" w:cs="Times New Roman"/>
          <w:b w:val="0"/>
          <w:color w:val="auto"/>
          <w:sz w:val="24"/>
          <w:szCs w:val="24"/>
          <w:lang w:val="en-US" w:eastAsia="zh-CN"/>
        </w:rPr>
        <w:t>治理施工</w:t>
      </w:r>
      <w:r>
        <w:rPr>
          <w:rFonts w:hint="default" w:cs="Times New Roman"/>
          <w:b w:val="0"/>
          <w:color w:val="auto"/>
          <w:sz w:val="24"/>
          <w:szCs w:val="24"/>
          <w:lang w:val="en-US" w:eastAsia="zh-CN"/>
        </w:rPr>
        <w:t>工作。</w:t>
      </w:r>
    </w:p>
    <w:p>
      <w:pPr>
        <w:pStyle w:val="7"/>
        <w:keepNext w:val="0"/>
        <w:keepLines w:val="0"/>
        <w:numPr>
          <w:ilvl w:val="4"/>
          <w:numId w:val="3"/>
        </w:numPr>
        <w:tabs>
          <w:tab w:val="left" w:pos="170"/>
          <w:tab w:val="left" w:pos="840"/>
        </w:tabs>
        <w:spacing w:before="0" w:after="0" w:line="360" w:lineRule="auto"/>
        <w:ind w:left="0" w:firstLine="0"/>
        <w:jc w:val="left"/>
        <w:rPr>
          <w:rFonts w:hint="default" w:cs="Times New Roman"/>
          <w:b w:val="0"/>
          <w:color w:val="auto"/>
          <w:sz w:val="24"/>
          <w:szCs w:val="24"/>
          <w:lang w:val="en-US" w:eastAsia="zh-CN"/>
        </w:rPr>
      </w:pPr>
      <w:r>
        <w:rPr>
          <w:rFonts w:hint="default" w:cs="Times New Roman"/>
          <w:b w:val="0"/>
          <w:color w:val="auto"/>
          <w:sz w:val="24"/>
          <w:szCs w:val="24"/>
          <w:lang w:val="en-US" w:eastAsia="zh-CN"/>
        </w:rPr>
        <w:t>投标方按招标方通知书要求派工程技术人员来四川泸州川南发电有限责任公司生产现场，按招标方同意的施工进度计划及施工工艺质量标准进行施工，</w:t>
      </w:r>
      <w:r>
        <w:rPr>
          <w:rFonts w:hint="eastAsia" w:cs="Times New Roman"/>
          <w:b w:val="0"/>
          <w:color w:val="auto"/>
          <w:sz w:val="24"/>
          <w:szCs w:val="24"/>
          <w:lang w:val="en-US" w:eastAsia="zh-CN"/>
        </w:rPr>
        <w:t>施工</w:t>
      </w:r>
      <w:r>
        <w:rPr>
          <w:rFonts w:hint="default" w:cs="Times New Roman"/>
          <w:b w:val="0"/>
          <w:color w:val="auto"/>
          <w:sz w:val="24"/>
          <w:szCs w:val="24"/>
          <w:lang w:val="en-US" w:eastAsia="zh-CN"/>
        </w:rPr>
        <w:t>质量由招标方和投标方共同按照技术标准及质量标准检查验收认可。</w:t>
      </w:r>
    </w:p>
    <w:p>
      <w:pPr>
        <w:pStyle w:val="7"/>
        <w:keepNext w:val="0"/>
        <w:keepLines w:val="0"/>
        <w:numPr>
          <w:ilvl w:val="4"/>
          <w:numId w:val="3"/>
        </w:numPr>
        <w:tabs>
          <w:tab w:val="left" w:pos="170"/>
          <w:tab w:val="left" w:pos="840"/>
        </w:tabs>
        <w:spacing w:before="0" w:after="0" w:line="360" w:lineRule="auto"/>
        <w:ind w:left="0" w:firstLine="0"/>
        <w:jc w:val="left"/>
        <w:rPr>
          <w:rFonts w:hint="default" w:cs="Times New Roman"/>
          <w:b w:val="0"/>
          <w:color w:val="auto"/>
          <w:sz w:val="24"/>
          <w:szCs w:val="24"/>
          <w:lang w:val="en-US" w:eastAsia="zh-CN"/>
        </w:rPr>
      </w:pPr>
      <w:r>
        <w:rPr>
          <w:rFonts w:hint="default" w:cs="Times New Roman"/>
          <w:b w:val="0"/>
          <w:color w:val="auto"/>
          <w:sz w:val="24"/>
          <w:szCs w:val="24"/>
          <w:lang w:val="en-US" w:eastAsia="zh-CN"/>
        </w:rPr>
        <w:t>投标方在正式施工前应编制施工方案</w:t>
      </w:r>
      <w:r>
        <w:rPr>
          <w:rFonts w:hint="eastAsia" w:cs="Times New Roman"/>
          <w:b w:val="0"/>
          <w:color w:val="auto"/>
          <w:sz w:val="24"/>
          <w:szCs w:val="24"/>
          <w:lang w:val="en-US" w:eastAsia="zh-CN"/>
        </w:rPr>
        <w:t>（包含施工组织措施、施工技术措施、</w:t>
      </w:r>
      <w:r>
        <w:rPr>
          <w:rFonts w:hint="default" w:cs="Times New Roman"/>
          <w:b w:val="0"/>
          <w:color w:val="auto"/>
          <w:sz w:val="24"/>
          <w:szCs w:val="24"/>
          <w:lang w:val="en-US" w:eastAsia="zh-CN"/>
        </w:rPr>
        <w:t>施工安全措施</w:t>
      </w:r>
      <w:r>
        <w:rPr>
          <w:rFonts w:hint="eastAsia" w:cs="Times New Roman"/>
          <w:b w:val="0"/>
          <w:color w:val="auto"/>
          <w:sz w:val="24"/>
          <w:szCs w:val="24"/>
          <w:lang w:val="en-US" w:eastAsia="zh-CN"/>
        </w:rPr>
        <w:t>等</w:t>
      </w:r>
      <w:r>
        <w:rPr>
          <w:rFonts w:hint="default" w:cs="Times New Roman"/>
          <w:b w:val="0"/>
          <w:color w:val="auto"/>
          <w:sz w:val="24"/>
          <w:szCs w:val="24"/>
          <w:lang w:val="en-US" w:eastAsia="zh-CN"/>
        </w:rPr>
        <w:t>）一式</w:t>
      </w:r>
      <w:r>
        <w:rPr>
          <w:rFonts w:hint="eastAsia" w:cs="Times New Roman"/>
          <w:b w:val="0"/>
          <w:color w:val="auto"/>
          <w:sz w:val="24"/>
          <w:szCs w:val="24"/>
          <w:lang w:val="en-US" w:eastAsia="zh-CN"/>
        </w:rPr>
        <w:t>三</w:t>
      </w:r>
      <w:r>
        <w:rPr>
          <w:rFonts w:hint="default" w:cs="Times New Roman"/>
          <w:b w:val="0"/>
          <w:color w:val="auto"/>
          <w:sz w:val="24"/>
          <w:szCs w:val="24"/>
          <w:lang w:val="en-US" w:eastAsia="zh-CN"/>
        </w:rPr>
        <w:t>份，经招标方审核后方可实施。</w:t>
      </w:r>
    </w:p>
    <w:p>
      <w:pPr>
        <w:pStyle w:val="7"/>
        <w:keepNext w:val="0"/>
        <w:keepLines w:val="0"/>
        <w:numPr>
          <w:ilvl w:val="4"/>
          <w:numId w:val="3"/>
        </w:numPr>
        <w:tabs>
          <w:tab w:val="left" w:pos="170"/>
          <w:tab w:val="left" w:pos="840"/>
        </w:tabs>
        <w:spacing w:before="0" w:after="0" w:line="360" w:lineRule="auto"/>
        <w:ind w:left="0" w:firstLine="0"/>
        <w:jc w:val="left"/>
        <w:rPr>
          <w:rFonts w:hint="default" w:cs="Times New Roman"/>
          <w:b w:val="0"/>
          <w:color w:val="auto"/>
          <w:sz w:val="24"/>
          <w:szCs w:val="24"/>
          <w:lang w:val="en-US" w:eastAsia="zh-CN"/>
        </w:rPr>
      </w:pPr>
      <w:r>
        <w:rPr>
          <w:rFonts w:hint="default" w:cs="Times New Roman"/>
          <w:b w:val="0"/>
          <w:color w:val="auto"/>
          <w:sz w:val="24"/>
          <w:szCs w:val="24"/>
          <w:lang w:val="en-US" w:eastAsia="zh-CN"/>
        </w:rPr>
        <w:t>投标方对招标方提供</w:t>
      </w:r>
      <w:r>
        <w:rPr>
          <w:rFonts w:hint="eastAsia" w:cs="Times New Roman"/>
          <w:b w:val="0"/>
          <w:color w:val="auto"/>
          <w:sz w:val="24"/>
          <w:szCs w:val="24"/>
          <w:lang w:val="en-US" w:eastAsia="zh-CN"/>
        </w:rPr>
        <w:t>1</w:t>
      </w:r>
      <w:r>
        <w:rPr>
          <w:rFonts w:hint="default" w:cs="Times New Roman"/>
          <w:b w:val="0"/>
          <w:color w:val="auto"/>
          <w:sz w:val="24"/>
          <w:szCs w:val="24"/>
          <w:lang w:val="en-US" w:eastAsia="zh-CN"/>
        </w:rPr>
        <w:t>年的免费保修。</w:t>
      </w:r>
    </w:p>
    <w:p>
      <w:pPr>
        <w:pStyle w:val="7"/>
        <w:keepNext w:val="0"/>
        <w:keepLines w:val="0"/>
        <w:numPr>
          <w:ilvl w:val="4"/>
          <w:numId w:val="3"/>
        </w:numPr>
        <w:tabs>
          <w:tab w:val="left" w:pos="170"/>
          <w:tab w:val="left" w:pos="840"/>
        </w:tabs>
        <w:spacing w:before="0" w:after="0" w:line="360" w:lineRule="auto"/>
        <w:ind w:left="0" w:firstLine="0"/>
        <w:jc w:val="left"/>
        <w:rPr>
          <w:rFonts w:hint="default" w:cs="Times New Roman"/>
          <w:b w:val="0"/>
          <w:color w:val="auto"/>
          <w:sz w:val="24"/>
          <w:szCs w:val="24"/>
          <w:lang w:val="en-US" w:eastAsia="zh-CN"/>
        </w:rPr>
      </w:pPr>
      <w:r>
        <w:rPr>
          <w:rFonts w:hint="default" w:cs="Times New Roman"/>
          <w:b w:val="0"/>
          <w:color w:val="auto"/>
          <w:sz w:val="24"/>
          <w:szCs w:val="24"/>
          <w:lang w:val="en-US" w:eastAsia="zh-CN"/>
        </w:rPr>
        <w:t>投标方来四川泸州川南发电有限责任公司生产现场</w:t>
      </w:r>
      <w:r>
        <w:rPr>
          <w:rFonts w:hint="eastAsia" w:cs="Times New Roman"/>
          <w:b w:val="0"/>
          <w:color w:val="auto"/>
          <w:sz w:val="24"/>
          <w:szCs w:val="24"/>
          <w:lang w:val="en-US" w:eastAsia="zh-CN"/>
        </w:rPr>
        <w:t>的</w:t>
      </w:r>
      <w:r>
        <w:rPr>
          <w:rFonts w:hint="default" w:cs="Times New Roman"/>
          <w:b w:val="0"/>
          <w:color w:val="auto"/>
          <w:sz w:val="24"/>
          <w:szCs w:val="24"/>
          <w:lang w:val="en-US" w:eastAsia="zh-CN"/>
        </w:rPr>
        <w:t>施工人员食宿自理；同时，投标方因安全管理不到位等自身原因造成人身伤亡事故，其事故责任及事故后果由投标方承担。</w:t>
      </w:r>
    </w:p>
    <w:p>
      <w:pPr>
        <w:pStyle w:val="7"/>
        <w:keepNext w:val="0"/>
        <w:keepLines w:val="0"/>
        <w:numPr>
          <w:ilvl w:val="4"/>
          <w:numId w:val="3"/>
        </w:numPr>
        <w:tabs>
          <w:tab w:val="left" w:pos="170"/>
          <w:tab w:val="left" w:pos="840"/>
        </w:tabs>
        <w:spacing w:before="0" w:after="0" w:line="360" w:lineRule="auto"/>
        <w:ind w:left="0" w:firstLine="0"/>
        <w:jc w:val="left"/>
        <w:rPr>
          <w:rFonts w:hint="default" w:cs="Times New Roman"/>
          <w:b w:val="0"/>
          <w:color w:val="auto"/>
          <w:sz w:val="24"/>
          <w:szCs w:val="24"/>
          <w:lang w:val="en-US" w:eastAsia="zh-CN"/>
        </w:rPr>
      </w:pPr>
      <w:r>
        <w:rPr>
          <w:rFonts w:hint="default" w:cs="Times New Roman"/>
          <w:b w:val="0"/>
          <w:color w:val="auto"/>
          <w:sz w:val="24"/>
          <w:szCs w:val="24"/>
          <w:lang w:val="en-US" w:eastAsia="zh-CN"/>
        </w:rPr>
        <w:t>投标方施工设备及施工材料、工器具应自行管理，因不可预测的原因造成丢失，招标方不负有赔偿的责任，若有关主要设备</w:t>
      </w:r>
      <w:r>
        <w:rPr>
          <w:rFonts w:hint="eastAsia" w:cs="Times New Roman"/>
          <w:b w:val="0"/>
          <w:color w:val="auto"/>
          <w:sz w:val="24"/>
          <w:szCs w:val="24"/>
          <w:lang w:val="en-US" w:eastAsia="zh-CN"/>
        </w:rPr>
        <w:t>、工具</w:t>
      </w:r>
      <w:r>
        <w:rPr>
          <w:rFonts w:hint="default" w:cs="Times New Roman"/>
          <w:b w:val="0"/>
          <w:color w:val="auto"/>
          <w:sz w:val="24"/>
          <w:szCs w:val="24"/>
          <w:lang w:val="en-US" w:eastAsia="zh-CN"/>
        </w:rPr>
        <w:t>丢失造成对施工进度有影响时，投标方应及时补充设备和材料运至生产现场，继续完成施工任务，以保证工程急需和工程进度需求，招标方可协助投标方清查丢失原因，查找丢失设备或</w:t>
      </w:r>
      <w:r>
        <w:rPr>
          <w:rFonts w:hint="eastAsia" w:cs="Times New Roman"/>
          <w:b w:val="0"/>
          <w:color w:val="auto"/>
          <w:sz w:val="24"/>
          <w:szCs w:val="24"/>
          <w:lang w:val="en-US" w:eastAsia="zh-CN"/>
        </w:rPr>
        <w:t>工具</w:t>
      </w:r>
      <w:r>
        <w:rPr>
          <w:rFonts w:hint="default" w:cs="Times New Roman"/>
          <w:b w:val="0"/>
          <w:color w:val="auto"/>
          <w:sz w:val="24"/>
          <w:szCs w:val="24"/>
          <w:lang w:val="en-US" w:eastAsia="zh-CN"/>
        </w:rPr>
        <w:t>。</w:t>
      </w:r>
    </w:p>
    <w:p>
      <w:pPr>
        <w:pStyle w:val="7"/>
        <w:keepNext w:val="0"/>
        <w:keepLines w:val="0"/>
        <w:numPr>
          <w:ilvl w:val="4"/>
          <w:numId w:val="3"/>
        </w:numPr>
        <w:tabs>
          <w:tab w:val="left" w:pos="170"/>
          <w:tab w:val="left" w:pos="840"/>
        </w:tabs>
        <w:spacing w:before="0" w:after="0" w:line="360" w:lineRule="auto"/>
        <w:ind w:left="0" w:firstLine="0"/>
        <w:jc w:val="left"/>
        <w:rPr>
          <w:rFonts w:hint="default" w:cs="Times New Roman"/>
          <w:b w:val="0"/>
          <w:color w:val="auto"/>
          <w:sz w:val="24"/>
          <w:szCs w:val="24"/>
          <w:lang w:val="en-US" w:eastAsia="zh-CN"/>
        </w:rPr>
      </w:pPr>
      <w:r>
        <w:rPr>
          <w:rFonts w:hint="default" w:cs="Times New Roman"/>
          <w:b w:val="0"/>
          <w:color w:val="auto"/>
          <w:sz w:val="24"/>
          <w:szCs w:val="24"/>
          <w:lang w:val="en-US" w:eastAsia="zh-CN"/>
        </w:rPr>
        <w:t>投标方</w:t>
      </w:r>
      <w:r>
        <w:rPr>
          <w:rFonts w:hint="eastAsia" w:cs="Times New Roman"/>
          <w:b w:val="0"/>
          <w:color w:val="auto"/>
          <w:sz w:val="24"/>
          <w:szCs w:val="24"/>
          <w:lang w:val="en-US" w:eastAsia="zh-CN"/>
        </w:rPr>
        <w:t>应在脚手架搭使用期间按照招标方的规章制度执行</w:t>
      </w:r>
      <w:r>
        <w:rPr>
          <w:rFonts w:hint="default" w:cs="Times New Roman"/>
          <w:b w:val="0"/>
          <w:color w:val="auto"/>
          <w:sz w:val="24"/>
          <w:szCs w:val="24"/>
          <w:lang w:val="en-US" w:eastAsia="zh-CN"/>
        </w:rPr>
        <w:t>。</w:t>
      </w:r>
    </w:p>
    <w:p>
      <w:pPr>
        <w:keepNext/>
        <w:widowControl w:val="0"/>
        <w:numPr>
          <w:ilvl w:val="2"/>
          <w:numId w:val="3"/>
        </w:numPr>
        <w:tabs>
          <w:tab w:val="left" w:pos="420"/>
          <w:tab w:val="clear" w:pos="1021"/>
        </w:tabs>
        <w:adjustRightInd w:val="0"/>
        <w:spacing w:line="360" w:lineRule="auto"/>
        <w:ind w:left="0" w:firstLine="0"/>
        <w:jc w:val="left"/>
        <w:textAlignment w:val="baseline"/>
        <w:outlineLvl w:val="2"/>
        <w:rPr>
          <w:rFonts w:hint="default" w:eastAsia="黑体" w:cs="Times New Roman"/>
          <w:color w:val="000000"/>
          <w:spacing w:val="0"/>
          <w:kern w:val="2"/>
          <w:sz w:val="24"/>
          <w:szCs w:val="24"/>
          <w:lang w:val="en-US" w:eastAsia="zh-CN" w:bidi="ar-SA"/>
        </w:rPr>
      </w:pPr>
      <w:bookmarkStart w:id="30" w:name="_Toc27677_WPSOffice_Level1"/>
      <w:r>
        <w:rPr>
          <w:rFonts w:hint="default" w:eastAsia="黑体" w:cs="Times New Roman"/>
          <w:color w:val="000000"/>
          <w:spacing w:val="0"/>
          <w:kern w:val="2"/>
          <w:sz w:val="24"/>
          <w:szCs w:val="24"/>
          <w:lang w:val="en-US" w:eastAsia="zh-CN" w:bidi="ar-SA"/>
        </w:rPr>
        <w:t>组织机构及施工体系</w:t>
      </w:r>
      <w:bookmarkEnd w:id="30"/>
    </w:p>
    <w:p>
      <w:pPr>
        <w:pStyle w:val="6"/>
        <w:keepNext w:val="0"/>
        <w:keepLines w:val="0"/>
        <w:numPr>
          <w:ilvl w:val="3"/>
          <w:numId w:val="3"/>
        </w:numPr>
        <w:tabs>
          <w:tab w:val="left" w:pos="567"/>
          <w:tab w:val="clear" w:pos="600"/>
        </w:tabs>
        <w:kinsoku w:val="0"/>
        <w:spacing w:before="163" w:beforeLines="50" w:after="163" w:afterLines="50" w:line="360" w:lineRule="auto"/>
        <w:ind w:left="0" w:firstLine="0"/>
        <w:jc w:val="left"/>
        <w:rPr>
          <w:rFonts w:hint="default" w:ascii="Times New Roman" w:hAnsi="Times New Roman" w:eastAsia="黑体" w:cs="Times New Roman"/>
          <w:b w:val="0"/>
          <w:color w:val="auto"/>
          <w:spacing w:val="0"/>
          <w:sz w:val="24"/>
          <w:szCs w:val="24"/>
        </w:rPr>
      </w:pPr>
      <w:r>
        <w:rPr>
          <w:rFonts w:hint="default" w:ascii="Times New Roman" w:hAnsi="Times New Roman" w:eastAsia="黑体" w:cs="Times New Roman"/>
          <w:b w:val="0"/>
          <w:color w:val="auto"/>
          <w:spacing w:val="0"/>
          <w:sz w:val="24"/>
          <w:szCs w:val="24"/>
        </w:rPr>
        <w:t>投标方组织机构</w:t>
      </w:r>
    </w:p>
    <w:p>
      <w:pPr>
        <w:pStyle w:val="7"/>
        <w:keepNext w:val="0"/>
        <w:keepLines w:val="0"/>
        <w:numPr>
          <w:ilvl w:val="4"/>
          <w:numId w:val="3"/>
        </w:numPr>
        <w:tabs>
          <w:tab w:val="left" w:pos="170"/>
          <w:tab w:val="left" w:pos="840"/>
        </w:tabs>
        <w:spacing w:before="0" w:after="0" w:line="360" w:lineRule="auto"/>
        <w:ind w:left="0" w:firstLine="0"/>
        <w:jc w:val="left"/>
        <w:rPr>
          <w:rFonts w:hint="default" w:cs="Times New Roman"/>
          <w:b w:val="0"/>
          <w:color w:val="auto"/>
          <w:sz w:val="24"/>
          <w:szCs w:val="24"/>
          <w:lang w:val="en-US" w:eastAsia="zh-CN"/>
        </w:rPr>
      </w:pPr>
      <w:r>
        <w:rPr>
          <w:rFonts w:hint="default" w:cs="Times New Roman"/>
          <w:b w:val="0"/>
          <w:color w:val="auto"/>
          <w:sz w:val="24"/>
          <w:szCs w:val="24"/>
          <w:lang w:val="en-US" w:eastAsia="zh-CN"/>
        </w:rPr>
        <w:t>投标方应建立健全管理机构，按项目经理责任制进行安全生产管理。配备各级</w:t>
      </w:r>
      <w:r>
        <w:rPr>
          <w:rFonts w:hint="eastAsia" w:cs="Times New Roman"/>
          <w:b w:val="0"/>
          <w:color w:val="auto"/>
          <w:sz w:val="24"/>
          <w:szCs w:val="24"/>
          <w:lang w:val="en-US" w:eastAsia="zh-CN"/>
        </w:rPr>
        <w:t>管理</w:t>
      </w:r>
      <w:r>
        <w:rPr>
          <w:rFonts w:hint="default" w:cs="Times New Roman"/>
          <w:b w:val="0"/>
          <w:color w:val="auto"/>
          <w:sz w:val="24"/>
          <w:szCs w:val="24"/>
          <w:lang w:val="en-US" w:eastAsia="zh-CN"/>
        </w:rPr>
        <w:t>人员，加强安全管理和安全教育，增强安全意识、服务意识、质量意识，防止发生人身伤害和设备损坏事故。组织机构如下：</w:t>
      </w:r>
    </w:p>
    <w:p>
      <w:pPr>
        <w:rPr>
          <w:rFonts w:hint="default" w:ascii="Times New Roman" w:hAnsi="Times New Roman" w:eastAsia="仿宋_GB2312" w:cs="Times New Roman"/>
          <w:sz w:val="24"/>
          <w:szCs w:val="24"/>
        </w:rPr>
      </w:pPr>
      <w:r>
        <w:rPr>
          <w:rFonts w:hint="default" w:ascii="Times New Roman" w:hAnsi="Times New Roman" w:cs="Times New Roman"/>
        </w:rPr>
        <w:drawing>
          <wp:anchor distT="0" distB="0" distL="114300" distR="114300" simplePos="0" relativeHeight="251659264" behindDoc="0" locked="0" layoutInCell="1" allowOverlap="1">
            <wp:simplePos x="0" y="0"/>
            <wp:positionH relativeFrom="column">
              <wp:posOffset>1393825</wp:posOffset>
            </wp:positionH>
            <wp:positionV relativeFrom="paragraph">
              <wp:posOffset>111125</wp:posOffset>
            </wp:positionV>
            <wp:extent cx="2686050" cy="1485900"/>
            <wp:effectExtent l="0" t="0" r="0" b="0"/>
            <wp:wrapTopAndBottom/>
            <wp:docPr id="1" name="图片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7"/>
                    <pic:cNvPicPr>
                      <a:picLocks noChangeAspect="1"/>
                    </pic:cNvPicPr>
                  </pic:nvPicPr>
                  <pic:blipFill>
                    <a:blip r:embed="rId13">
                      <a:lum bright="-29999" contrast="100000"/>
                    </a:blip>
                    <a:stretch>
                      <a:fillRect/>
                    </a:stretch>
                  </pic:blipFill>
                  <pic:spPr>
                    <a:xfrm>
                      <a:off x="0" y="0"/>
                      <a:ext cx="2686050" cy="1485900"/>
                    </a:xfrm>
                    <a:prstGeom prst="rect">
                      <a:avLst/>
                    </a:prstGeom>
                    <a:noFill/>
                    <a:ln>
                      <a:noFill/>
                    </a:ln>
                  </pic:spPr>
                </pic:pic>
              </a:graphicData>
            </a:graphic>
          </wp:anchor>
        </w:drawing>
      </w:r>
    </w:p>
    <w:p>
      <w:pPr>
        <w:jc w:val="center"/>
        <w:rPr>
          <w:rFonts w:hint="default" w:ascii="Times New Roman" w:hAnsi="Times New Roman" w:eastAsia="仿宋_GB2312" w:cs="Times New Roman"/>
          <w:sz w:val="24"/>
          <w:szCs w:val="24"/>
        </w:rPr>
      </w:pPr>
    </w:p>
    <w:p>
      <w:pPr>
        <w:pStyle w:val="7"/>
        <w:keepNext w:val="0"/>
        <w:keepLines w:val="0"/>
        <w:numPr>
          <w:ilvl w:val="4"/>
          <w:numId w:val="3"/>
        </w:numPr>
        <w:tabs>
          <w:tab w:val="left" w:pos="170"/>
          <w:tab w:val="left" w:pos="840"/>
        </w:tabs>
        <w:spacing w:before="0" w:after="0" w:line="360" w:lineRule="auto"/>
        <w:ind w:left="0" w:firstLine="0"/>
        <w:jc w:val="left"/>
        <w:rPr>
          <w:rFonts w:hint="default" w:cs="Times New Roman"/>
          <w:b w:val="0"/>
          <w:color w:val="auto"/>
          <w:sz w:val="24"/>
          <w:szCs w:val="24"/>
          <w:lang w:val="en-US" w:eastAsia="zh-CN"/>
        </w:rPr>
      </w:pPr>
      <w:r>
        <w:rPr>
          <w:rFonts w:hint="default" w:cs="Times New Roman"/>
          <w:b w:val="0"/>
          <w:color w:val="auto"/>
          <w:sz w:val="24"/>
          <w:szCs w:val="24"/>
          <w:lang w:val="en-US" w:eastAsia="zh-CN"/>
        </w:rPr>
        <w:t>投标方在现场设立本标段项目经理部。施工主要人员按照施工组织设计和实际需要统一从公司组织、调遣。</w:t>
      </w:r>
    </w:p>
    <w:p>
      <w:pPr>
        <w:pStyle w:val="7"/>
        <w:keepNext w:val="0"/>
        <w:keepLines w:val="0"/>
        <w:numPr>
          <w:ilvl w:val="4"/>
          <w:numId w:val="3"/>
        </w:numPr>
        <w:tabs>
          <w:tab w:val="left" w:pos="170"/>
          <w:tab w:val="left" w:pos="840"/>
        </w:tabs>
        <w:spacing w:before="0" w:after="0" w:line="360" w:lineRule="auto"/>
        <w:ind w:left="0" w:firstLine="0"/>
        <w:jc w:val="left"/>
        <w:rPr>
          <w:rFonts w:hint="default" w:cs="Times New Roman"/>
          <w:b w:val="0"/>
          <w:color w:val="auto"/>
          <w:sz w:val="24"/>
          <w:szCs w:val="24"/>
          <w:lang w:val="en-US" w:eastAsia="zh-CN"/>
        </w:rPr>
      </w:pPr>
      <w:r>
        <w:rPr>
          <w:rFonts w:hint="default" w:cs="Times New Roman"/>
          <w:b w:val="0"/>
          <w:color w:val="auto"/>
          <w:sz w:val="24"/>
          <w:szCs w:val="24"/>
          <w:lang w:val="en-US" w:eastAsia="zh-CN"/>
        </w:rPr>
        <w:t>项目经理部组织机构设置</w:t>
      </w:r>
    </w:p>
    <w:p>
      <w:pPr>
        <w:pStyle w:val="7"/>
        <w:keepNext w:val="0"/>
        <w:keepLines w:val="0"/>
        <w:pageBreakBefore w:val="0"/>
        <w:widowControl w:val="0"/>
        <w:numPr>
          <w:ilvl w:val="0"/>
          <w:numId w:val="0"/>
        </w:numPr>
        <w:tabs>
          <w:tab w:val="left" w:pos="170"/>
          <w:tab w:val="left" w:pos="840"/>
        </w:tabs>
        <w:kinsoku/>
        <w:wordWrap/>
        <w:overflowPunct/>
        <w:topLinePunct w:val="0"/>
        <w:autoSpaceDE/>
        <w:autoSpaceDN/>
        <w:bidi w:val="0"/>
        <w:adjustRightInd/>
        <w:snapToGrid/>
        <w:spacing w:before="0" w:after="0" w:line="360" w:lineRule="auto"/>
        <w:ind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项目经理部人员配置必须满足</w:t>
      </w:r>
      <w:r>
        <w:rPr>
          <w:rFonts w:hint="eastAsia" w:cs="Times New Roman"/>
          <w:b w:val="0"/>
          <w:color w:val="auto"/>
          <w:sz w:val="24"/>
          <w:szCs w:val="24"/>
          <w:lang w:val="en-US" w:eastAsia="zh-CN"/>
        </w:rPr>
        <w:t>施工</w:t>
      </w:r>
      <w:r>
        <w:rPr>
          <w:rFonts w:hint="default" w:cs="Times New Roman"/>
          <w:b w:val="0"/>
          <w:color w:val="auto"/>
          <w:sz w:val="24"/>
          <w:szCs w:val="24"/>
          <w:lang w:val="en-US" w:eastAsia="zh-CN"/>
        </w:rPr>
        <w:t>需要，作业人员超过20人时应配备：项目经理1人，专责质量工程师1人，专职安全兼培训工程师（安全员）1人。未超过20人时，应配备项目经理1人，专责质量工程师兼安全工程师（安全员）1人。安全管理人员必须具有相应资质和能力，持证上岗。</w:t>
      </w:r>
    </w:p>
    <w:p>
      <w:pPr>
        <w:pStyle w:val="7"/>
        <w:keepNext w:val="0"/>
        <w:keepLines w:val="0"/>
        <w:pageBreakBefore w:val="0"/>
        <w:widowControl w:val="0"/>
        <w:numPr>
          <w:ilvl w:val="0"/>
          <w:numId w:val="0"/>
        </w:numPr>
        <w:tabs>
          <w:tab w:val="left" w:pos="170"/>
          <w:tab w:val="left" w:pos="851"/>
        </w:tabs>
        <w:kinsoku/>
        <w:wordWrap/>
        <w:overflowPunct/>
        <w:topLinePunct w:val="0"/>
        <w:autoSpaceDE/>
        <w:autoSpaceDN/>
        <w:bidi w:val="0"/>
        <w:adjustRightInd/>
        <w:snapToGrid/>
        <w:spacing w:before="0" w:after="0" w:line="360" w:lineRule="auto"/>
        <w:ind w:leftChars="0" w:firstLine="482" w:firstLineChars="200"/>
        <w:jc w:val="left"/>
        <w:textAlignment w:val="auto"/>
        <w:rPr>
          <w:rFonts w:hint="default" w:cs="Times New Roman"/>
          <w:b/>
          <w:bCs w:val="0"/>
          <w:color w:val="auto"/>
          <w:sz w:val="24"/>
          <w:szCs w:val="24"/>
          <w:lang w:val="en-US" w:eastAsia="zh-CN"/>
        </w:rPr>
      </w:pPr>
      <w:r>
        <w:rPr>
          <w:rFonts w:hint="default" w:cs="Times New Roman"/>
          <w:b/>
          <w:bCs w:val="0"/>
          <w:color w:val="auto"/>
          <w:sz w:val="24"/>
          <w:szCs w:val="24"/>
          <w:lang w:val="en-US" w:eastAsia="zh-CN"/>
        </w:rPr>
        <w:t>注：项目经理及专职（兼职）安全工程师（安全员）须具有安全管理资质。</w:t>
      </w:r>
    </w:p>
    <w:p>
      <w:pPr>
        <w:pStyle w:val="7"/>
        <w:keepNext w:val="0"/>
        <w:keepLines w:val="0"/>
        <w:numPr>
          <w:ilvl w:val="4"/>
          <w:numId w:val="3"/>
        </w:numPr>
        <w:tabs>
          <w:tab w:val="left" w:pos="170"/>
          <w:tab w:val="left" w:pos="840"/>
        </w:tabs>
        <w:spacing w:before="0" w:after="0" w:line="360" w:lineRule="auto"/>
        <w:ind w:left="0" w:firstLine="0"/>
        <w:jc w:val="left"/>
        <w:rPr>
          <w:rFonts w:hint="default"/>
          <w:lang w:val="en-US" w:eastAsia="zh-CN"/>
        </w:rPr>
      </w:pPr>
      <w:r>
        <w:rPr>
          <w:rFonts w:hint="eastAsia" w:cs="Times New Roman"/>
          <w:b w:val="0"/>
          <w:color w:val="auto"/>
          <w:sz w:val="24"/>
          <w:szCs w:val="24"/>
          <w:lang w:val="en-US" w:eastAsia="zh-CN"/>
        </w:rPr>
        <w:t>主要</w:t>
      </w:r>
      <w:r>
        <w:rPr>
          <w:rFonts w:hint="default" w:cs="Times New Roman"/>
          <w:b w:val="0"/>
          <w:color w:val="auto"/>
          <w:sz w:val="24"/>
          <w:szCs w:val="24"/>
          <w:lang w:val="en-US" w:eastAsia="zh-CN"/>
        </w:rPr>
        <w:t>施工人员岗位定员、岗位主要职责如表</w:t>
      </w:r>
      <w:r>
        <w:rPr>
          <w:rFonts w:hint="eastAsia" w:cs="Times New Roman"/>
          <w:b w:val="0"/>
          <w:color w:val="auto"/>
          <w:sz w:val="24"/>
          <w:szCs w:val="24"/>
          <w:lang w:val="en-US" w:eastAsia="zh-CN"/>
        </w:rPr>
        <w:t>8-1所示。</w:t>
      </w:r>
    </w:p>
    <w:p>
      <w:pPr>
        <w:jc w:val="center"/>
        <w:rPr>
          <w:rFonts w:hint="default"/>
          <w:sz w:val="21"/>
          <w:szCs w:val="21"/>
          <w:lang w:val="en-US" w:eastAsia="zh-CN"/>
        </w:rPr>
      </w:pPr>
      <w:r>
        <w:rPr>
          <w:rFonts w:hint="eastAsia" w:cs="Times New Roman"/>
          <w:b w:val="0"/>
          <w:color w:val="auto"/>
          <w:sz w:val="21"/>
          <w:szCs w:val="21"/>
          <w:lang w:val="en-US" w:eastAsia="zh-CN"/>
        </w:rPr>
        <w:t>表8-1  主要</w:t>
      </w:r>
      <w:r>
        <w:rPr>
          <w:rFonts w:hint="default" w:cs="Times New Roman"/>
          <w:b w:val="0"/>
          <w:color w:val="auto"/>
          <w:sz w:val="21"/>
          <w:szCs w:val="21"/>
          <w:lang w:val="en-US" w:eastAsia="zh-CN"/>
        </w:rPr>
        <w:t>施工人员岗位定员、岗位主要职责</w:t>
      </w:r>
      <w:r>
        <w:rPr>
          <w:rFonts w:hint="eastAsia" w:cs="Times New Roman"/>
          <w:b w:val="0"/>
          <w:color w:val="auto"/>
          <w:sz w:val="21"/>
          <w:szCs w:val="21"/>
          <w:lang w:val="en-US" w:eastAsia="zh-CN"/>
        </w:rPr>
        <w:t>表</w:t>
      </w:r>
    </w:p>
    <w:tbl>
      <w:tblPr>
        <w:tblStyle w:val="13"/>
        <w:tblW w:w="0" w:type="auto"/>
        <w:jc w:val="center"/>
        <w:tblLayout w:type="fixed"/>
        <w:tblCellMar>
          <w:top w:w="0" w:type="dxa"/>
          <w:left w:w="108" w:type="dxa"/>
          <w:bottom w:w="0" w:type="dxa"/>
          <w:right w:w="108" w:type="dxa"/>
        </w:tblCellMar>
      </w:tblPr>
      <w:tblGrid>
        <w:gridCol w:w="1758"/>
        <w:gridCol w:w="851"/>
        <w:gridCol w:w="4817"/>
        <w:gridCol w:w="710"/>
      </w:tblGrid>
      <w:tr>
        <w:tblPrEx>
          <w:tblCellMar>
            <w:top w:w="0" w:type="dxa"/>
            <w:left w:w="108" w:type="dxa"/>
            <w:bottom w:w="0" w:type="dxa"/>
            <w:right w:w="108" w:type="dxa"/>
          </w:tblCellMar>
        </w:tblPrEx>
        <w:trPr>
          <w:cantSplit/>
          <w:jc w:val="center"/>
        </w:trPr>
        <w:tc>
          <w:tcPr>
            <w:tcW w:w="175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岗位名称</w:t>
            </w:r>
          </w:p>
        </w:tc>
        <w:tc>
          <w:tcPr>
            <w:tcW w:w="851" w:type="dxa"/>
            <w:tcBorders>
              <w:top w:val="single" w:color="auto" w:sz="4" w:space="0"/>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定员</w:t>
            </w:r>
          </w:p>
        </w:tc>
        <w:tc>
          <w:tcPr>
            <w:tcW w:w="4817" w:type="dxa"/>
            <w:tcBorders>
              <w:top w:val="single" w:color="auto" w:sz="4" w:space="0"/>
              <w:left w:val="nil"/>
              <w:bottom w:val="single" w:color="auto" w:sz="4" w:space="0"/>
              <w:right w:val="single" w:color="auto" w:sz="4" w:space="0"/>
            </w:tcBorders>
            <w:noWrap w:val="0"/>
            <w:vAlign w:val="top"/>
          </w:tcPr>
          <w:p>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岗位主要职责</w:t>
            </w:r>
          </w:p>
        </w:tc>
        <w:tc>
          <w:tcPr>
            <w:tcW w:w="710" w:type="dxa"/>
            <w:tcBorders>
              <w:top w:val="single" w:color="auto" w:sz="4" w:space="0"/>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用工种类</w:t>
            </w:r>
          </w:p>
        </w:tc>
      </w:tr>
      <w:tr>
        <w:tblPrEx>
          <w:tblCellMar>
            <w:top w:w="0" w:type="dxa"/>
            <w:left w:w="108" w:type="dxa"/>
            <w:bottom w:w="0" w:type="dxa"/>
            <w:right w:w="108" w:type="dxa"/>
          </w:tblCellMar>
        </w:tblPrEx>
        <w:trPr>
          <w:cantSplit/>
          <w:jc w:val="center"/>
        </w:trPr>
        <w:tc>
          <w:tcPr>
            <w:tcW w:w="175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项目部经理</w:t>
            </w:r>
          </w:p>
        </w:tc>
        <w:tc>
          <w:tcPr>
            <w:tcW w:w="851" w:type="dxa"/>
            <w:tcBorders>
              <w:top w:val="single" w:color="auto" w:sz="4" w:space="0"/>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w:t>
            </w:r>
          </w:p>
        </w:tc>
        <w:tc>
          <w:tcPr>
            <w:tcW w:w="4817" w:type="dxa"/>
            <w:tcBorders>
              <w:top w:val="single" w:color="auto" w:sz="4" w:space="0"/>
              <w:left w:val="nil"/>
              <w:bottom w:val="single" w:color="auto" w:sz="4" w:space="0"/>
              <w:right w:val="single" w:color="auto" w:sz="4" w:space="0"/>
            </w:tcBorders>
            <w:noWrap w:val="0"/>
            <w:vAlign w:val="top"/>
          </w:tcPr>
          <w:p>
            <w:pPr>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全面负责项目部的日常管理工作，所辖范围防腐施工和安全管理工作；是检修项目部的安全第一负责人。</w:t>
            </w:r>
          </w:p>
        </w:tc>
        <w:tc>
          <w:tcPr>
            <w:tcW w:w="710" w:type="dxa"/>
            <w:tcBorders>
              <w:top w:val="single" w:color="auto" w:sz="4" w:space="0"/>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工程师</w:t>
            </w:r>
          </w:p>
        </w:tc>
      </w:tr>
      <w:tr>
        <w:tblPrEx>
          <w:tblCellMar>
            <w:top w:w="0" w:type="dxa"/>
            <w:left w:w="108" w:type="dxa"/>
            <w:bottom w:w="0" w:type="dxa"/>
            <w:right w:w="108" w:type="dxa"/>
          </w:tblCellMar>
        </w:tblPrEx>
        <w:trPr>
          <w:cantSplit/>
          <w:jc w:val="center"/>
        </w:trPr>
        <w:tc>
          <w:tcPr>
            <w:tcW w:w="1758"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专（兼）职安全工程师（安全员）</w:t>
            </w:r>
          </w:p>
        </w:tc>
        <w:tc>
          <w:tcPr>
            <w:tcW w:w="851" w:type="dxa"/>
            <w:tcBorders>
              <w:top w:val="single" w:color="auto" w:sz="4" w:space="0"/>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w:t>
            </w:r>
          </w:p>
        </w:tc>
        <w:tc>
          <w:tcPr>
            <w:tcW w:w="4817" w:type="dxa"/>
            <w:tcBorders>
              <w:top w:val="single" w:color="auto" w:sz="4" w:space="0"/>
              <w:left w:val="nil"/>
              <w:bottom w:val="single" w:color="auto" w:sz="4" w:space="0"/>
              <w:right w:val="single" w:color="auto" w:sz="4" w:space="0"/>
            </w:tcBorders>
            <w:noWrap w:val="0"/>
            <w:vAlign w:val="top"/>
          </w:tcPr>
          <w:p>
            <w:pPr>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1.抓好现场安全管理，监督并落实专项安全措施，制止违章行为，参与招标方现场安全检查及各类安全活动。</w:t>
            </w:r>
          </w:p>
          <w:p>
            <w:pPr>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2.组织开展作业前风险辨识，负责抓好员工日常安全教育，开展相应技术培训教育，并负责对现场安全情况进行监督、检查、考核，负责项目部安全工器具的管理安全管理。</w:t>
            </w:r>
          </w:p>
          <w:p>
            <w:pPr>
              <w:jc w:val="left"/>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3.抓好项目部自身安全文明施工、职业健康管理及环境保护管理。</w:t>
            </w:r>
          </w:p>
        </w:tc>
        <w:tc>
          <w:tcPr>
            <w:tcW w:w="710" w:type="dxa"/>
            <w:tcBorders>
              <w:top w:val="single" w:color="auto" w:sz="4" w:space="0"/>
              <w:left w:val="nil"/>
              <w:bottom w:val="single" w:color="auto" w:sz="4" w:space="0"/>
              <w:right w:val="single" w:color="auto" w:sz="4" w:space="0"/>
            </w:tcBorders>
            <w:noWrap w:val="0"/>
            <w:vAlign w:val="center"/>
          </w:tcPr>
          <w:p>
            <w:pPr>
              <w:jc w:val="center"/>
              <w:rPr>
                <w:rFonts w:hint="eastAsia" w:asciiTheme="minorEastAsia" w:hAnsiTheme="minorEastAsia" w:eastAsiaTheme="minorEastAsia" w:cstheme="minorEastAsia"/>
                <w:sz w:val="18"/>
                <w:szCs w:val="18"/>
              </w:rPr>
            </w:pPr>
            <w:r>
              <w:rPr>
                <w:rFonts w:hint="eastAsia" w:asciiTheme="minorEastAsia" w:hAnsiTheme="minorEastAsia" w:eastAsiaTheme="minorEastAsia" w:cstheme="minorEastAsia"/>
                <w:sz w:val="18"/>
                <w:szCs w:val="18"/>
              </w:rPr>
              <w:t>工程师</w:t>
            </w:r>
          </w:p>
        </w:tc>
      </w:tr>
    </w:tbl>
    <w:p>
      <w:pPr>
        <w:pStyle w:val="7"/>
        <w:keepNext w:val="0"/>
        <w:keepLines w:val="0"/>
        <w:numPr>
          <w:ilvl w:val="4"/>
          <w:numId w:val="3"/>
        </w:numPr>
        <w:tabs>
          <w:tab w:val="left" w:pos="170"/>
          <w:tab w:val="left" w:pos="840"/>
        </w:tabs>
        <w:spacing w:before="0" w:after="0" w:line="360" w:lineRule="auto"/>
        <w:ind w:left="0" w:firstLine="0"/>
        <w:jc w:val="left"/>
        <w:rPr>
          <w:rFonts w:hint="default" w:cs="Times New Roman"/>
          <w:b w:val="0"/>
          <w:color w:val="auto"/>
          <w:sz w:val="24"/>
          <w:szCs w:val="24"/>
          <w:lang w:val="en-US" w:eastAsia="zh-CN"/>
        </w:rPr>
      </w:pPr>
      <w:r>
        <w:rPr>
          <w:rFonts w:hint="default" w:cs="Times New Roman"/>
          <w:b w:val="0"/>
          <w:color w:val="auto"/>
          <w:sz w:val="24"/>
          <w:szCs w:val="24"/>
          <w:lang w:val="en-US" w:eastAsia="zh-CN"/>
        </w:rPr>
        <w:t>劳动力投入计划</w:t>
      </w:r>
      <w:r>
        <w:rPr>
          <w:rFonts w:hint="eastAsia" w:cs="Times New Roman"/>
          <w:b w:val="0"/>
          <w:color w:val="auto"/>
          <w:sz w:val="24"/>
          <w:szCs w:val="24"/>
          <w:lang w:val="en-US" w:eastAsia="zh-CN"/>
        </w:rPr>
        <w:t>（投标方填写）</w:t>
      </w:r>
    </w:p>
    <w:p>
      <w:pPr>
        <w:pStyle w:val="7"/>
        <w:keepNext w:val="0"/>
        <w:keepLines w:val="0"/>
        <w:pageBreakBefore w:val="0"/>
        <w:widowControl w:val="0"/>
        <w:numPr>
          <w:ilvl w:val="0"/>
          <w:numId w:val="0"/>
        </w:numPr>
        <w:tabs>
          <w:tab w:val="left" w:pos="170"/>
          <w:tab w:val="left" w:pos="840"/>
        </w:tabs>
        <w:kinsoku/>
        <w:wordWrap/>
        <w:overflowPunct/>
        <w:topLinePunct w:val="0"/>
        <w:autoSpaceDE/>
        <w:autoSpaceDN/>
        <w:bidi w:val="0"/>
        <w:adjustRightInd/>
        <w:snapToGrid/>
        <w:spacing w:before="0" w:after="0" w:line="360" w:lineRule="auto"/>
        <w:ind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低峰：</w:t>
      </w:r>
      <w:r>
        <w:rPr>
          <w:rFonts w:hint="default" w:cs="Times New Roman"/>
          <w:b w:val="0"/>
          <w:color w:val="auto"/>
          <w:sz w:val="24"/>
          <w:szCs w:val="24"/>
          <w:u w:val="single"/>
          <w:lang w:val="en-US" w:eastAsia="zh-CN"/>
        </w:rPr>
        <w:t xml:space="preserve">     </w:t>
      </w:r>
      <w:r>
        <w:rPr>
          <w:rFonts w:hint="default" w:cs="Times New Roman"/>
          <w:b w:val="0"/>
          <w:color w:val="auto"/>
          <w:sz w:val="24"/>
          <w:szCs w:val="24"/>
          <w:lang w:val="en-US" w:eastAsia="zh-CN"/>
        </w:rPr>
        <w:t>人；</w:t>
      </w:r>
    </w:p>
    <w:p>
      <w:pPr>
        <w:pStyle w:val="7"/>
        <w:keepNext w:val="0"/>
        <w:keepLines w:val="0"/>
        <w:pageBreakBefore w:val="0"/>
        <w:widowControl w:val="0"/>
        <w:numPr>
          <w:ilvl w:val="0"/>
          <w:numId w:val="0"/>
        </w:numPr>
        <w:tabs>
          <w:tab w:val="left" w:pos="170"/>
          <w:tab w:val="left" w:pos="840"/>
        </w:tabs>
        <w:kinsoku/>
        <w:wordWrap/>
        <w:overflowPunct/>
        <w:topLinePunct w:val="0"/>
        <w:autoSpaceDE/>
        <w:autoSpaceDN/>
        <w:bidi w:val="0"/>
        <w:adjustRightInd/>
        <w:snapToGrid/>
        <w:spacing w:before="0" w:after="0" w:line="360" w:lineRule="auto"/>
        <w:ind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平峰：</w:t>
      </w:r>
      <w:r>
        <w:rPr>
          <w:rFonts w:hint="default" w:cs="Times New Roman"/>
          <w:b w:val="0"/>
          <w:color w:val="auto"/>
          <w:sz w:val="24"/>
          <w:szCs w:val="24"/>
          <w:u w:val="single"/>
          <w:lang w:val="en-US" w:eastAsia="zh-CN"/>
        </w:rPr>
        <w:t xml:space="preserve">     </w:t>
      </w:r>
      <w:r>
        <w:rPr>
          <w:rFonts w:hint="default" w:cs="Times New Roman"/>
          <w:b w:val="0"/>
          <w:color w:val="auto"/>
          <w:sz w:val="24"/>
          <w:szCs w:val="24"/>
          <w:lang w:val="en-US" w:eastAsia="zh-CN"/>
        </w:rPr>
        <w:t>人；</w:t>
      </w:r>
    </w:p>
    <w:p>
      <w:pPr>
        <w:pStyle w:val="7"/>
        <w:keepNext w:val="0"/>
        <w:keepLines w:val="0"/>
        <w:pageBreakBefore w:val="0"/>
        <w:widowControl w:val="0"/>
        <w:numPr>
          <w:ilvl w:val="0"/>
          <w:numId w:val="0"/>
        </w:numPr>
        <w:tabs>
          <w:tab w:val="left" w:pos="170"/>
          <w:tab w:val="left" w:pos="840"/>
        </w:tabs>
        <w:kinsoku/>
        <w:wordWrap/>
        <w:overflowPunct/>
        <w:topLinePunct w:val="0"/>
        <w:autoSpaceDE/>
        <w:autoSpaceDN/>
        <w:bidi w:val="0"/>
        <w:adjustRightInd/>
        <w:snapToGrid/>
        <w:spacing w:before="0" w:after="0" w:line="360" w:lineRule="auto"/>
        <w:ind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高峰：</w:t>
      </w:r>
      <w:r>
        <w:rPr>
          <w:rFonts w:hint="default" w:cs="Times New Roman"/>
          <w:b w:val="0"/>
          <w:color w:val="auto"/>
          <w:sz w:val="24"/>
          <w:szCs w:val="24"/>
          <w:u w:val="single"/>
          <w:lang w:val="en-US" w:eastAsia="zh-CN"/>
        </w:rPr>
        <w:t xml:space="preserve">     </w:t>
      </w:r>
      <w:r>
        <w:rPr>
          <w:rFonts w:hint="default" w:cs="Times New Roman"/>
          <w:b w:val="0"/>
          <w:color w:val="auto"/>
          <w:sz w:val="24"/>
          <w:szCs w:val="24"/>
          <w:lang w:val="en-US" w:eastAsia="zh-CN"/>
        </w:rPr>
        <w:t>人。</w:t>
      </w:r>
    </w:p>
    <w:p>
      <w:pPr>
        <w:pStyle w:val="7"/>
        <w:keepNext w:val="0"/>
        <w:keepLines w:val="0"/>
        <w:pageBreakBefore w:val="0"/>
        <w:widowControl w:val="0"/>
        <w:numPr>
          <w:ilvl w:val="0"/>
          <w:numId w:val="0"/>
        </w:numPr>
        <w:tabs>
          <w:tab w:val="left" w:pos="170"/>
          <w:tab w:val="left" w:pos="840"/>
        </w:tabs>
        <w:kinsoku/>
        <w:wordWrap/>
        <w:overflowPunct/>
        <w:topLinePunct w:val="0"/>
        <w:autoSpaceDE/>
        <w:autoSpaceDN/>
        <w:bidi w:val="0"/>
        <w:adjustRightInd/>
        <w:snapToGrid/>
        <w:spacing w:before="0" w:after="0" w:line="360" w:lineRule="auto"/>
        <w:ind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注：投标方人力投入按照施工进度要求，随时调增，以满足施工进度。</w:t>
      </w:r>
    </w:p>
    <w:p>
      <w:pPr>
        <w:pStyle w:val="7"/>
        <w:keepNext w:val="0"/>
        <w:keepLines w:val="0"/>
        <w:numPr>
          <w:ilvl w:val="4"/>
          <w:numId w:val="3"/>
        </w:numPr>
        <w:tabs>
          <w:tab w:val="left" w:pos="170"/>
          <w:tab w:val="left" w:pos="840"/>
        </w:tabs>
        <w:spacing w:before="0" w:after="0" w:line="360" w:lineRule="auto"/>
        <w:ind w:left="0" w:firstLine="0"/>
        <w:jc w:val="left"/>
        <w:rPr>
          <w:rFonts w:hint="default" w:cs="Times New Roman"/>
          <w:b w:val="0"/>
          <w:color w:val="auto"/>
          <w:sz w:val="24"/>
          <w:szCs w:val="24"/>
          <w:lang w:val="en-US" w:eastAsia="zh-CN"/>
        </w:rPr>
      </w:pPr>
      <w:r>
        <w:rPr>
          <w:rFonts w:hint="default" w:cs="Times New Roman"/>
          <w:b w:val="0"/>
          <w:color w:val="auto"/>
          <w:sz w:val="24"/>
          <w:szCs w:val="24"/>
          <w:lang w:val="en-US" w:eastAsia="zh-CN"/>
        </w:rPr>
        <w:t>项目部人员及素质</w:t>
      </w:r>
    </w:p>
    <w:p>
      <w:pPr>
        <w:pStyle w:val="7"/>
        <w:keepNext w:val="0"/>
        <w:keepLines w:val="0"/>
        <w:pageBreakBefore w:val="0"/>
        <w:widowControl w:val="0"/>
        <w:numPr>
          <w:ilvl w:val="0"/>
          <w:numId w:val="0"/>
        </w:numPr>
        <w:tabs>
          <w:tab w:val="left" w:pos="170"/>
          <w:tab w:val="left" w:pos="840"/>
        </w:tabs>
        <w:kinsoku/>
        <w:wordWrap/>
        <w:overflowPunct/>
        <w:topLinePunct w:val="0"/>
        <w:autoSpaceDE/>
        <w:autoSpaceDN/>
        <w:bidi w:val="0"/>
        <w:adjustRightInd/>
        <w:snapToGrid/>
        <w:spacing w:before="0" w:after="0" w:line="360" w:lineRule="auto"/>
        <w:ind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投标方参加</w:t>
      </w:r>
      <w:r>
        <w:rPr>
          <w:rFonts w:hint="eastAsia" w:cs="Times New Roman"/>
          <w:b w:val="0"/>
          <w:color w:val="auto"/>
          <w:sz w:val="24"/>
          <w:szCs w:val="24"/>
          <w:lang w:val="en-US" w:eastAsia="zh-CN"/>
        </w:rPr>
        <w:t>招标方</w:t>
      </w:r>
      <w:r>
        <w:rPr>
          <w:rFonts w:hint="default" w:cs="Times New Roman"/>
          <w:b w:val="0"/>
          <w:color w:val="auto"/>
          <w:sz w:val="24"/>
          <w:szCs w:val="24"/>
          <w:lang w:val="en-US" w:eastAsia="zh-CN"/>
        </w:rPr>
        <w:t>2×600MW</w:t>
      </w:r>
      <w:r>
        <w:rPr>
          <w:rFonts w:hint="eastAsia" w:cs="Times New Roman"/>
          <w:b w:val="0"/>
          <w:color w:val="auto"/>
          <w:sz w:val="24"/>
          <w:szCs w:val="24"/>
          <w:lang w:val="en-US" w:eastAsia="zh-CN"/>
        </w:rPr>
        <w:t>脱硫系统钢制安全防护栏杆、平台及斜梯（直梯）等设施治理</w:t>
      </w:r>
      <w:r>
        <w:rPr>
          <w:rFonts w:hint="default" w:cs="Times New Roman"/>
          <w:b w:val="0"/>
          <w:color w:val="auto"/>
          <w:sz w:val="24"/>
          <w:szCs w:val="24"/>
          <w:lang w:val="en-US" w:eastAsia="zh-CN"/>
        </w:rPr>
        <w:t>施工现场人员的基本要求：</w:t>
      </w:r>
    </w:p>
    <w:p>
      <w:pPr>
        <w:pStyle w:val="7"/>
        <w:keepNext w:val="0"/>
        <w:keepLines w:val="0"/>
        <w:pageBreakBefore w:val="0"/>
        <w:widowControl w:val="0"/>
        <w:numPr>
          <w:ilvl w:val="0"/>
          <w:numId w:val="5"/>
        </w:numPr>
        <w:tabs>
          <w:tab w:val="left" w:pos="170"/>
          <w:tab w:val="left" w:pos="840"/>
        </w:tabs>
        <w:kinsoku/>
        <w:wordWrap/>
        <w:overflowPunct/>
        <w:topLinePunct w:val="0"/>
        <w:autoSpaceDE/>
        <w:autoSpaceDN/>
        <w:bidi w:val="0"/>
        <w:adjustRightInd/>
        <w:snapToGrid/>
        <w:spacing w:before="0" w:after="0" w:line="360" w:lineRule="auto"/>
        <w:ind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所有人员熟悉电厂生产，至少应有一年及</w:t>
      </w:r>
      <w:r>
        <w:rPr>
          <w:rFonts w:hint="eastAsia" w:cs="Times New Roman"/>
          <w:b w:val="0"/>
          <w:color w:val="auto"/>
          <w:sz w:val="24"/>
          <w:szCs w:val="24"/>
          <w:lang w:val="en-US" w:eastAsia="zh-CN"/>
        </w:rPr>
        <w:t>以上</w:t>
      </w:r>
      <w:r>
        <w:rPr>
          <w:rFonts w:hint="default" w:cs="Times New Roman"/>
          <w:b w:val="0"/>
          <w:color w:val="auto"/>
          <w:sz w:val="24"/>
          <w:szCs w:val="24"/>
          <w:lang w:val="en-US" w:eastAsia="zh-CN"/>
        </w:rPr>
        <w:t>的电厂生产实践；所有人员必须身体健康合格，符合行业安全管理要求，无职业禁忌。</w:t>
      </w:r>
    </w:p>
    <w:p>
      <w:pPr>
        <w:pStyle w:val="7"/>
        <w:keepNext w:val="0"/>
        <w:keepLines w:val="0"/>
        <w:pageBreakBefore w:val="0"/>
        <w:widowControl w:val="0"/>
        <w:numPr>
          <w:ilvl w:val="0"/>
          <w:numId w:val="5"/>
        </w:numPr>
        <w:tabs>
          <w:tab w:val="left" w:pos="170"/>
          <w:tab w:val="left" w:pos="840"/>
        </w:tabs>
        <w:kinsoku/>
        <w:wordWrap/>
        <w:overflowPunct/>
        <w:topLinePunct w:val="0"/>
        <w:autoSpaceDE/>
        <w:autoSpaceDN/>
        <w:bidi w:val="0"/>
        <w:adjustRightInd/>
        <w:snapToGrid/>
        <w:spacing w:before="0" w:after="0" w:line="360" w:lineRule="auto"/>
        <w:ind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特殊工种</w:t>
      </w:r>
      <w:r>
        <w:rPr>
          <w:rFonts w:hint="eastAsia" w:cs="Times New Roman"/>
          <w:b w:val="0"/>
          <w:color w:val="auto"/>
          <w:sz w:val="24"/>
          <w:szCs w:val="24"/>
          <w:lang w:val="en-US" w:eastAsia="zh-CN"/>
        </w:rPr>
        <w:t>（如焊工、登高人员）</w:t>
      </w:r>
      <w:r>
        <w:rPr>
          <w:rFonts w:hint="default" w:cs="Times New Roman"/>
          <w:b w:val="0"/>
          <w:color w:val="auto"/>
          <w:sz w:val="24"/>
          <w:szCs w:val="24"/>
          <w:lang w:val="en-US" w:eastAsia="zh-CN"/>
        </w:rPr>
        <w:t>必须持证上岗，满足安全生产要求。</w:t>
      </w:r>
    </w:p>
    <w:p>
      <w:pPr>
        <w:pStyle w:val="7"/>
        <w:keepNext w:val="0"/>
        <w:keepLines w:val="0"/>
        <w:pageBreakBefore w:val="0"/>
        <w:widowControl w:val="0"/>
        <w:numPr>
          <w:ilvl w:val="0"/>
          <w:numId w:val="5"/>
        </w:numPr>
        <w:tabs>
          <w:tab w:val="left" w:pos="170"/>
          <w:tab w:val="left" w:pos="840"/>
        </w:tabs>
        <w:kinsoku/>
        <w:wordWrap/>
        <w:overflowPunct/>
        <w:topLinePunct w:val="0"/>
        <w:autoSpaceDE/>
        <w:autoSpaceDN/>
        <w:bidi w:val="0"/>
        <w:adjustRightInd/>
        <w:snapToGrid/>
        <w:spacing w:before="0" w:after="0" w:line="360" w:lineRule="auto"/>
        <w:ind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项目经理有丰富的电厂生产管理经验。项目经理和专（兼）职安全工程师（安全员）必须坚守现场，不经招标方允许不得私自离开现场。</w:t>
      </w:r>
    </w:p>
    <w:p>
      <w:pPr>
        <w:pStyle w:val="6"/>
        <w:keepNext w:val="0"/>
        <w:keepLines w:val="0"/>
        <w:numPr>
          <w:ilvl w:val="3"/>
          <w:numId w:val="3"/>
        </w:numPr>
        <w:tabs>
          <w:tab w:val="left" w:pos="567"/>
          <w:tab w:val="clear" w:pos="600"/>
        </w:tabs>
        <w:kinsoku w:val="0"/>
        <w:spacing w:before="163" w:beforeLines="50" w:after="163" w:afterLines="50" w:line="360" w:lineRule="auto"/>
        <w:ind w:left="0" w:firstLine="0"/>
        <w:jc w:val="left"/>
        <w:rPr>
          <w:rFonts w:hint="default" w:ascii="Times New Roman" w:hAnsi="Times New Roman" w:eastAsia="黑体" w:cs="Times New Roman"/>
          <w:b w:val="0"/>
          <w:color w:val="auto"/>
          <w:spacing w:val="0"/>
          <w:sz w:val="24"/>
          <w:szCs w:val="24"/>
        </w:rPr>
      </w:pPr>
      <w:r>
        <w:rPr>
          <w:rFonts w:hint="default" w:ascii="Times New Roman" w:hAnsi="Times New Roman" w:eastAsia="黑体" w:cs="Times New Roman"/>
          <w:b w:val="0"/>
          <w:color w:val="auto"/>
          <w:spacing w:val="0"/>
          <w:sz w:val="24"/>
          <w:szCs w:val="24"/>
        </w:rPr>
        <w:t>投标方施工组织体系</w:t>
      </w:r>
    </w:p>
    <w:p>
      <w:pPr>
        <w:pStyle w:val="7"/>
        <w:keepNext w:val="0"/>
        <w:keepLines w:val="0"/>
        <w:numPr>
          <w:ilvl w:val="4"/>
          <w:numId w:val="3"/>
        </w:numPr>
        <w:tabs>
          <w:tab w:val="left" w:pos="170"/>
          <w:tab w:val="left" w:pos="840"/>
        </w:tabs>
        <w:spacing w:before="0" w:after="0" w:line="360" w:lineRule="auto"/>
        <w:ind w:left="0" w:firstLine="0"/>
        <w:jc w:val="left"/>
        <w:rPr>
          <w:rFonts w:hint="default" w:cs="Times New Roman"/>
          <w:b w:val="0"/>
          <w:color w:val="auto"/>
          <w:sz w:val="24"/>
          <w:szCs w:val="24"/>
          <w:lang w:val="en-US" w:eastAsia="zh-CN"/>
        </w:rPr>
      </w:pPr>
      <w:r>
        <w:rPr>
          <w:rFonts w:hint="default" w:cs="Times New Roman"/>
          <w:b w:val="0"/>
          <w:color w:val="auto"/>
          <w:sz w:val="24"/>
          <w:szCs w:val="24"/>
          <w:lang w:val="en-US" w:eastAsia="zh-CN"/>
        </w:rPr>
        <w:t>安全、质量保证体系</w:t>
      </w:r>
    </w:p>
    <w:p>
      <w:pPr>
        <w:pStyle w:val="7"/>
        <w:keepNext w:val="0"/>
        <w:keepLines w:val="0"/>
        <w:pageBreakBefore w:val="0"/>
        <w:widowControl w:val="0"/>
        <w:numPr>
          <w:ilvl w:val="0"/>
          <w:numId w:val="0"/>
        </w:numPr>
        <w:tabs>
          <w:tab w:val="left" w:pos="170"/>
          <w:tab w:val="left" w:pos="840"/>
        </w:tabs>
        <w:kinsoku/>
        <w:wordWrap/>
        <w:overflowPunct/>
        <w:topLinePunct w:val="0"/>
        <w:autoSpaceDE/>
        <w:autoSpaceDN/>
        <w:bidi w:val="0"/>
        <w:adjustRightInd/>
        <w:snapToGrid/>
        <w:spacing w:before="0" w:after="0" w:line="360" w:lineRule="auto"/>
        <w:ind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项目经理是整个</w:t>
      </w:r>
      <w:r>
        <w:rPr>
          <w:rFonts w:hint="eastAsia" w:cs="Times New Roman"/>
          <w:b w:val="0"/>
          <w:color w:val="auto"/>
          <w:sz w:val="24"/>
          <w:szCs w:val="24"/>
          <w:lang w:val="en-US" w:eastAsia="zh-CN"/>
        </w:rPr>
        <w:t>治理施工</w:t>
      </w:r>
      <w:r>
        <w:rPr>
          <w:rFonts w:hint="default" w:cs="Times New Roman"/>
          <w:b w:val="0"/>
          <w:color w:val="auto"/>
          <w:sz w:val="24"/>
          <w:szCs w:val="24"/>
          <w:lang w:val="en-US" w:eastAsia="zh-CN"/>
        </w:rPr>
        <w:t>项目的第一责任人，对工程质量负直接领导责任。投标方建立健全安全、质量管理体系，制定</w:t>
      </w:r>
      <w:r>
        <w:rPr>
          <w:rFonts w:hint="eastAsia" w:cs="Times New Roman"/>
          <w:b w:val="0"/>
          <w:color w:val="auto"/>
          <w:sz w:val="24"/>
          <w:szCs w:val="24"/>
          <w:lang w:val="en-US" w:eastAsia="zh-CN"/>
        </w:rPr>
        <w:t>施工</w:t>
      </w:r>
      <w:r>
        <w:rPr>
          <w:rFonts w:hint="default" w:cs="Times New Roman"/>
          <w:b w:val="0"/>
          <w:color w:val="auto"/>
          <w:sz w:val="24"/>
          <w:szCs w:val="24"/>
          <w:lang w:val="en-US" w:eastAsia="zh-CN"/>
        </w:rPr>
        <w:t>目标计划、质量考核办法，严格验收程序，确保质量体系与施工有效、同步运转，确保施工过程整个质量过程得到有效控制。</w:t>
      </w:r>
    </w:p>
    <w:p>
      <w:pPr>
        <w:pStyle w:val="7"/>
        <w:keepNext w:val="0"/>
        <w:keepLines w:val="0"/>
        <w:numPr>
          <w:ilvl w:val="4"/>
          <w:numId w:val="3"/>
        </w:numPr>
        <w:tabs>
          <w:tab w:val="left" w:pos="170"/>
          <w:tab w:val="left" w:pos="840"/>
        </w:tabs>
        <w:spacing w:before="0" w:after="0" w:line="360" w:lineRule="auto"/>
        <w:ind w:left="0" w:firstLine="0"/>
        <w:jc w:val="left"/>
        <w:rPr>
          <w:rFonts w:hint="default" w:ascii="Times New Roman" w:hAnsi="Times New Roman" w:eastAsia="仿宋_GB2312" w:cs="Times New Roman"/>
          <w:sz w:val="24"/>
          <w:szCs w:val="24"/>
        </w:rPr>
      </w:pPr>
      <w:r>
        <w:rPr>
          <w:rFonts w:hint="default" w:cs="Times New Roman"/>
          <w:b w:val="0"/>
          <w:color w:val="auto"/>
          <w:sz w:val="24"/>
          <w:szCs w:val="24"/>
          <w:lang w:val="en-US" w:eastAsia="zh-CN"/>
        </w:rPr>
        <w:t>安全职责</w:t>
      </w:r>
    </w:p>
    <w:p>
      <w:pPr>
        <w:pStyle w:val="7"/>
        <w:keepNext w:val="0"/>
        <w:keepLines w:val="0"/>
        <w:numPr>
          <w:ilvl w:val="5"/>
          <w:numId w:val="3"/>
        </w:numPr>
        <w:tabs>
          <w:tab w:val="left" w:pos="170"/>
          <w:tab w:val="left" w:pos="1060"/>
          <w:tab w:val="clear" w:pos="1021"/>
        </w:tabs>
        <w:spacing w:before="0" w:after="0" w:line="360" w:lineRule="auto"/>
        <w:ind w:left="0" w:leftChars="0" w:firstLine="0" w:firstLineChars="0"/>
        <w:jc w:val="left"/>
        <w:rPr>
          <w:rFonts w:hint="eastAsia" w:asciiTheme="minorEastAsia" w:hAnsiTheme="minorEastAsia" w:eastAsiaTheme="minorEastAsia" w:cstheme="minorEastAsia"/>
          <w:b w:val="0"/>
          <w:bCs w:val="0"/>
          <w:sz w:val="24"/>
          <w:szCs w:val="24"/>
        </w:rPr>
      </w:pPr>
      <w:r>
        <w:rPr>
          <w:rFonts w:hint="eastAsia" w:asciiTheme="minorEastAsia" w:hAnsiTheme="minorEastAsia" w:eastAsiaTheme="minorEastAsia" w:cstheme="minorEastAsia"/>
          <w:b w:val="0"/>
          <w:bCs w:val="0"/>
          <w:sz w:val="24"/>
          <w:szCs w:val="24"/>
        </w:rPr>
        <w:t>项目经理</w:t>
      </w:r>
    </w:p>
    <w:p>
      <w:pPr>
        <w:pStyle w:val="7"/>
        <w:keepNext w:val="0"/>
        <w:keepLines w:val="0"/>
        <w:pageBreakBefore w:val="0"/>
        <w:widowControl w:val="0"/>
        <w:numPr>
          <w:ilvl w:val="0"/>
          <w:numId w:val="6"/>
        </w:numPr>
        <w:tabs>
          <w:tab w:val="left" w:pos="170"/>
          <w:tab w:val="left" w:pos="840"/>
        </w:tabs>
        <w:kinsoku/>
        <w:wordWrap/>
        <w:overflowPunct/>
        <w:topLinePunct w:val="0"/>
        <w:autoSpaceDE/>
        <w:autoSpaceDN/>
        <w:bidi w:val="0"/>
        <w:adjustRightInd/>
        <w:snapToGrid/>
        <w:spacing w:before="0" w:after="0" w:line="360" w:lineRule="auto"/>
        <w:ind w:left="0"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项目经理是整个</w:t>
      </w:r>
      <w:r>
        <w:rPr>
          <w:rFonts w:hint="eastAsia" w:cs="Times New Roman"/>
          <w:b w:val="0"/>
          <w:color w:val="auto"/>
          <w:sz w:val="24"/>
          <w:szCs w:val="24"/>
          <w:lang w:val="en-US" w:eastAsia="zh-CN"/>
        </w:rPr>
        <w:t>治理施工</w:t>
      </w:r>
      <w:r>
        <w:rPr>
          <w:rFonts w:hint="default" w:cs="Times New Roman"/>
          <w:b w:val="0"/>
          <w:color w:val="auto"/>
          <w:sz w:val="24"/>
          <w:szCs w:val="24"/>
          <w:lang w:val="en-US" w:eastAsia="zh-CN"/>
        </w:rPr>
        <w:t>项目的安全第一责任人，对工程安全负全责。</w:t>
      </w:r>
    </w:p>
    <w:p>
      <w:pPr>
        <w:pStyle w:val="7"/>
        <w:keepNext w:val="0"/>
        <w:keepLines w:val="0"/>
        <w:pageBreakBefore w:val="0"/>
        <w:widowControl w:val="0"/>
        <w:numPr>
          <w:ilvl w:val="0"/>
          <w:numId w:val="6"/>
        </w:numPr>
        <w:tabs>
          <w:tab w:val="left" w:pos="170"/>
          <w:tab w:val="left" w:pos="840"/>
        </w:tabs>
        <w:kinsoku/>
        <w:wordWrap/>
        <w:overflowPunct/>
        <w:topLinePunct w:val="0"/>
        <w:autoSpaceDE/>
        <w:autoSpaceDN/>
        <w:bidi w:val="0"/>
        <w:adjustRightInd/>
        <w:snapToGrid/>
        <w:spacing w:before="0" w:after="0" w:line="360" w:lineRule="auto"/>
        <w:ind w:left="0"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依据上级有关规定和招标方指令或要求，针对</w:t>
      </w:r>
      <w:r>
        <w:rPr>
          <w:rFonts w:hint="eastAsia" w:cs="Times New Roman"/>
          <w:b w:val="0"/>
          <w:color w:val="auto"/>
          <w:sz w:val="24"/>
          <w:szCs w:val="24"/>
          <w:lang w:val="en-US" w:eastAsia="zh-CN"/>
        </w:rPr>
        <w:t>治理施工项目</w:t>
      </w:r>
      <w:r>
        <w:rPr>
          <w:rFonts w:hint="default" w:cs="Times New Roman"/>
          <w:b w:val="0"/>
          <w:color w:val="auto"/>
          <w:sz w:val="24"/>
          <w:szCs w:val="24"/>
          <w:lang w:val="en-US" w:eastAsia="zh-CN"/>
        </w:rPr>
        <w:t>具体情况，组织制定</w:t>
      </w:r>
      <w:r>
        <w:rPr>
          <w:rFonts w:hint="eastAsia" w:cs="Times New Roman"/>
          <w:b w:val="0"/>
          <w:color w:val="auto"/>
          <w:sz w:val="24"/>
          <w:szCs w:val="24"/>
          <w:lang w:val="en-US" w:eastAsia="zh-CN"/>
        </w:rPr>
        <w:t>施工</w:t>
      </w:r>
      <w:r>
        <w:rPr>
          <w:rFonts w:hint="default" w:cs="Times New Roman"/>
          <w:b w:val="0"/>
          <w:color w:val="auto"/>
          <w:sz w:val="24"/>
          <w:szCs w:val="24"/>
          <w:lang w:val="en-US" w:eastAsia="zh-CN"/>
        </w:rPr>
        <w:t>安全、文明标准化实施办法及项目管理体系。</w:t>
      </w:r>
    </w:p>
    <w:p>
      <w:pPr>
        <w:pStyle w:val="7"/>
        <w:keepNext w:val="0"/>
        <w:keepLines w:val="0"/>
        <w:pageBreakBefore w:val="0"/>
        <w:widowControl w:val="0"/>
        <w:numPr>
          <w:ilvl w:val="0"/>
          <w:numId w:val="6"/>
        </w:numPr>
        <w:tabs>
          <w:tab w:val="left" w:pos="170"/>
          <w:tab w:val="left" w:pos="840"/>
        </w:tabs>
        <w:kinsoku/>
        <w:wordWrap/>
        <w:overflowPunct/>
        <w:topLinePunct w:val="0"/>
        <w:autoSpaceDE/>
        <w:autoSpaceDN/>
        <w:bidi w:val="0"/>
        <w:adjustRightInd/>
        <w:snapToGrid/>
        <w:spacing w:before="0" w:after="0" w:line="360" w:lineRule="auto"/>
        <w:ind w:left="0"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督促专管人员认真履行职责，贯彻有关制度、规定和办法，并检查其贯彻效果。</w:t>
      </w:r>
    </w:p>
    <w:p>
      <w:pPr>
        <w:pStyle w:val="7"/>
        <w:keepNext w:val="0"/>
        <w:keepLines w:val="0"/>
        <w:pageBreakBefore w:val="0"/>
        <w:widowControl w:val="0"/>
        <w:numPr>
          <w:ilvl w:val="0"/>
          <w:numId w:val="6"/>
        </w:numPr>
        <w:tabs>
          <w:tab w:val="left" w:pos="170"/>
          <w:tab w:val="left" w:pos="840"/>
        </w:tabs>
        <w:kinsoku/>
        <w:wordWrap/>
        <w:overflowPunct/>
        <w:topLinePunct w:val="0"/>
        <w:autoSpaceDE/>
        <w:autoSpaceDN/>
        <w:bidi w:val="0"/>
        <w:adjustRightInd/>
        <w:snapToGrid/>
        <w:spacing w:before="0" w:after="0" w:line="360" w:lineRule="auto"/>
        <w:ind w:left="0"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响应招标方各类安全生产活动及安全检查，积极组织参与，并对自身存在的问题认真落实整改，并形成闭环管理。</w:t>
      </w:r>
    </w:p>
    <w:p>
      <w:pPr>
        <w:pStyle w:val="7"/>
        <w:keepNext w:val="0"/>
        <w:keepLines w:val="0"/>
        <w:pageBreakBefore w:val="0"/>
        <w:widowControl w:val="0"/>
        <w:numPr>
          <w:ilvl w:val="0"/>
          <w:numId w:val="6"/>
        </w:numPr>
        <w:tabs>
          <w:tab w:val="left" w:pos="170"/>
          <w:tab w:val="left" w:pos="840"/>
        </w:tabs>
        <w:kinsoku/>
        <w:wordWrap/>
        <w:overflowPunct/>
        <w:topLinePunct w:val="0"/>
        <w:autoSpaceDE/>
        <w:autoSpaceDN/>
        <w:bidi w:val="0"/>
        <w:adjustRightInd/>
        <w:snapToGrid/>
        <w:spacing w:before="0" w:after="0" w:line="360" w:lineRule="auto"/>
        <w:ind w:left="0"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保证项目部安全生产资金投入。</w:t>
      </w:r>
    </w:p>
    <w:p>
      <w:pPr>
        <w:pStyle w:val="7"/>
        <w:keepNext w:val="0"/>
        <w:keepLines w:val="0"/>
        <w:numPr>
          <w:ilvl w:val="5"/>
          <w:numId w:val="3"/>
        </w:numPr>
        <w:tabs>
          <w:tab w:val="left" w:pos="170"/>
          <w:tab w:val="left" w:pos="1060"/>
          <w:tab w:val="clear" w:pos="1021"/>
        </w:tabs>
        <w:spacing w:before="0" w:after="0" w:line="360" w:lineRule="auto"/>
        <w:ind w:left="0" w:leftChars="0" w:firstLine="0" w:firstLineChars="0"/>
        <w:jc w:val="left"/>
        <w:rPr>
          <w:rFonts w:hint="default" w:asciiTheme="minorEastAsia" w:hAnsiTheme="minorEastAsia" w:eastAsiaTheme="minorEastAsia" w:cstheme="minorEastAsia"/>
          <w:b w:val="0"/>
          <w:bCs w:val="0"/>
          <w:sz w:val="24"/>
          <w:szCs w:val="24"/>
        </w:rPr>
      </w:pPr>
      <w:r>
        <w:rPr>
          <w:rFonts w:hint="default" w:asciiTheme="minorEastAsia" w:hAnsiTheme="minorEastAsia" w:eastAsiaTheme="minorEastAsia" w:cstheme="minorEastAsia"/>
          <w:b w:val="0"/>
          <w:bCs w:val="0"/>
          <w:sz w:val="24"/>
          <w:szCs w:val="24"/>
        </w:rPr>
        <w:t>专（兼）职安全工程师（安全员）</w:t>
      </w:r>
    </w:p>
    <w:p>
      <w:pPr>
        <w:pStyle w:val="7"/>
        <w:keepNext w:val="0"/>
        <w:keepLines w:val="0"/>
        <w:pageBreakBefore w:val="0"/>
        <w:widowControl w:val="0"/>
        <w:numPr>
          <w:ilvl w:val="0"/>
          <w:numId w:val="6"/>
        </w:numPr>
        <w:tabs>
          <w:tab w:val="left" w:pos="170"/>
          <w:tab w:val="left" w:pos="840"/>
        </w:tabs>
        <w:kinsoku/>
        <w:wordWrap/>
        <w:overflowPunct/>
        <w:topLinePunct w:val="0"/>
        <w:autoSpaceDE/>
        <w:autoSpaceDN/>
        <w:bidi w:val="0"/>
        <w:adjustRightInd/>
        <w:snapToGrid/>
        <w:spacing w:before="0" w:after="0" w:line="360" w:lineRule="auto"/>
        <w:ind w:left="0"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认真贯彻执行国家、行业及招标方相关安全生产的法律、法规、各项规章制度。</w:t>
      </w:r>
    </w:p>
    <w:p>
      <w:pPr>
        <w:pStyle w:val="7"/>
        <w:keepNext w:val="0"/>
        <w:keepLines w:val="0"/>
        <w:pageBreakBefore w:val="0"/>
        <w:widowControl w:val="0"/>
        <w:numPr>
          <w:ilvl w:val="0"/>
          <w:numId w:val="6"/>
        </w:numPr>
        <w:tabs>
          <w:tab w:val="left" w:pos="170"/>
          <w:tab w:val="left" w:pos="840"/>
        </w:tabs>
        <w:kinsoku/>
        <w:wordWrap/>
        <w:overflowPunct/>
        <w:topLinePunct w:val="0"/>
        <w:autoSpaceDE/>
        <w:autoSpaceDN/>
        <w:bidi w:val="0"/>
        <w:adjustRightInd/>
        <w:snapToGrid/>
        <w:spacing w:before="0" w:after="0" w:line="360" w:lineRule="auto"/>
        <w:ind w:left="0"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督促作业人员认真执行各项施工安全技术措施。</w:t>
      </w:r>
    </w:p>
    <w:p>
      <w:pPr>
        <w:pStyle w:val="7"/>
        <w:keepNext w:val="0"/>
        <w:keepLines w:val="0"/>
        <w:pageBreakBefore w:val="0"/>
        <w:widowControl w:val="0"/>
        <w:numPr>
          <w:ilvl w:val="0"/>
          <w:numId w:val="6"/>
        </w:numPr>
        <w:tabs>
          <w:tab w:val="left" w:pos="170"/>
          <w:tab w:val="left" w:pos="840"/>
        </w:tabs>
        <w:kinsoku/>
        <w:wordWrap/>
        <w:overflowPunct/>
        <w:topLinePunct w:val="0"/>
        <w:autoSpaceDE/>
        <w:autoSpaceDN/>
        <w:bidi w:val="0"/>
        <w:adjustRightInd/>
        <w:snapToGrid/>
        <w:spacing w:before="0" w:after="0" w:line="360" w:lineRule="auto"/>
        <w:ind w:left="0"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实行对施工现场全天候巡回检查，及时纠正作业人员违章现象，使安全生产、文明施工、职业健康安全及环境保护始终处于有效受控状态。</w:t>
      </w:r>
    </w:p>
    <w:p>
      <w:pPr>
        <w:pStyle w:val="7"/>
        <w:keepNext w:val="0"/>
        <w:keepLines w:val="0"/>
        <w:pageBreakBefore w:val="0"/>
        <w:widowControl w:val="0"/>
        <w:numPr>
          <w:ilvl w:val="0"/>
          <w:numId w:val="6"/>
        </w:numPr>
        <w:tabs>
          <w:tab w:val="left" w:pos="170"/>
          <w:tab w:val="left" w:pos="840"/>
        </w:tabs>
        <w:kinsoku/>
        <w:wordWrap/>
        <w:overflowPunct/>
        <w:topLinePunct w:val="0"/>
        <w:autoSpaceDE/>
        <w:autoSpaceDN/>
        <w:bidi w:val="0"/>
        <w:adjustRightInd/>
        <w:snapToGrid/>
        <w:spacing w:before="0" w:after="0" w:line="360" w:lineRule="auto"/>
        <w:ind w:left="0"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组织作业人员开展风险预控。依据施工现场作业部位的变化，负责提出动态的、有效的具体安全防范措施。</w:t>
      </w:r>
    </w:p>
    <w:p>
      <w:pPr>
        <w:pStyle w:val="7"/>
        <w:keepNext w:val="0"/>
        <w:keepLines w:val="0"/>
        <w:pageBreakBefore w:val="0"/>
        <w:widowControl w:val="0"/>
        <w:numPr>
          <w:ilvl w:val="0"/>
          <w:numId w:val="6"/>
        </w:numPr>
        <w:tabs>
          <w:tab w:val="left" w:pos="170"/>
          <w:tab w:val="left" w:pos="840"/>
        </w:tabs>
        <w:kinsoku/>
        <w:wordWrap/>
        <w:overflowPunct/>
        <w:topLinePunct w:val="0"/>
        <w:autoSpaceDE/>
        <w:autoSpaceDN/>
        <w:bidi w:val="0"/>
        <w:adjustRightInd/>
        <w:snapToGrid/>
        <w:spacing w:before="0" w:after="0" w:line="360" w:lineRule="auto"/>
        <w:ind w:left="0"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做好施工作业现场各类安全警示，采购合格的劳动防护用品并督促作业人员正确使用。</w:t>
      </w:r>
    </w:p>
    <w:p>
      <w:pPr>
        <w:pStyle w:val="7"/>
        <w:keepNext w:val="0"/>
        <w:keepLines w:val="0"/>
        <w:pageBreakBefore w:val="0"/>
        <w:widowControl w:val="0"/>
        <w:numPr>
          <w:ilvl w:val="0"/>
          <w:numId w:val="6"/>
        </w:numPr>
        <w:tabs>
          <w:tab w:val="left" w:pos="170"/>
          <w:tab w:val="left" w:pos="840"/>
        </w:tabs>
        <w:kinsoku/>
        <w:wordWrap/>
        <w:overflowPunct/>
        <w:topLinePunct w:val="0"/>
        <w:autoSpaceDE/>
        <w:autoSpaceDN/>
        <w:bidi w:val="0"/>
        <w:adjustRightInd/>
        <w:snapToGrid/>
        <w:spacing w:before="0" w:after="0" w:line="360" w:lineRule="auto"/>
        <w:ind w:left="0"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发生安全事故时，组织保护现场、救治伤员，调查情况，提出事故报告。</w:t>
      </w:r>
    </w:p>
    <w:p>
      <w:pPr>
        <w:pStyle w:val="7"/>
        <w:keepNext w:val="0"/>
        <w:keepLines w:val="0"/>
        <w:numPr>
          <w:ilvl w:val="4"/>
          <w:numId w:val="3"/>
        </w:numPr>
        <w:tabs>
          <w:tab w:val="left" w:pos="170"/>
          <w:tab w:val="left" w:pos="840"/>
        </w:tabs>
        <w:spacing w:before="0" w:after="0" w:line="360" w:lineRule="auto"/>
        <w:ind w:left="0" w:firstLine="0"/>
        <w:jc w:val="left"/>
        <w:rPr>
          <w:rFonts w:hint="default" w:cs="Times New Roman"/>
          <w:b w:val="0"/>
          <w:color w:val="auto"/>
          <w:sz w:val="24"/>
          <w:szCs w:val="24"/>
          <w:lang w:val="en-US" w:eastAsia="zh-CN"/>
        </w:rPr>
      </w:pPr>
      <w:r>
        <w:rPr>
          <w:rFonts w:hint="default" w:cs="Times New Roman"/>
          <w:b w:val="0"/>
          <w:color w:val="auto"/>
          <w:sz w:val="24"/>
          <w:szCs w:val="24"/>
          <w:lang w:val="en-US" w:eastAsia="zh-CN"/>
        </w:rPr>
        <w:t>基本安全</w:t>
      </w:r>
      <w:r>
        <w:rPr>
          <w:rFonts w:hint="eastAsia" w:cs="Times New Roman"/>
          <w:b w:val="0"/>
          <w:color w:val="auto"/>
          <w:sz w:val="24"/>
          <w:szCs w:val="24"/>
          <w:lang w:val="en-US" w:eastAsia="zh-CN"/>
        </w:rPr>
        <w:t>环保</w:t>
      </w:r>
      <w:r>
        <w:rPr>
          <w:rFonts w:hint="default" w:cs="Times New Roman"/>
          <w:b w:val="0"/>
          <w:color w:val="auto"/>
          <w:sz w:val="24"/>
          <w:szCs w:val="24"/>
          <w:lang w:val="en-US" w:eastAsia="zh-CN"/>
        </w:rPr>
        <w:t>文明</w:t>
      </w:r>
      <w:r>
        <w:rPr>
          <w:rFonts w:hint="eastAsia" w:cs="Times New Roman"/>
          <w:b w:val="0"/>
          <w:color w:val="auto"/>
          <w:sz w:val="24"/>
          <w:szCs w:val="24"/>
          <w:lang w:val="en-US" w:eastAsia="zh-CN"/>
        </w:rPr>
        <w:t>施工</w:t>
      </w:r>
      <w:r>
        <w:rPr>
          <w:rFonts w:hint="default" w:cs="Times New Roman"/>
          <w:b w:val="0"/>
          <w:color w:val="auto"/>
          <w:sz w:val="24"/>
          <w:szCs w:val="24"/>
          <w:lang w:val="en-US" w:eastAsia="zh-CN"/>
        </w:rPr>
        <w:t>措施</w:t>
      </w:r>
    </w:p>
    <w:p>
      <w:pPr>
        <w:pStyle w:val="7"/>
        <w:keepNext w:val="0"/>
        <w:keepLines w:val="0"/>
        <w:numPr>
          <w:ilvl w:val="5"/>
          <w:numId w:val="3"/>
        </w:numPr>
        <w:tabs>
          <w:tab w:val="left" w:pos="170"/>
          <w:tab w:val="left" w:pos="1060"/>
          <w:tab w:val="clear" w:pos="1021"/>
        </w:tabs>
        <w:spacing w:before="0" w:after="0" w:line="360" w:lineRule="auto"/>
        <w:ind w:left="0" w:leftChars="0" w:firstLine="0" w:firstLineChars="0"/>
        <w:jc w:val="left"/>
        <w:rPr>
          <w:rFonts w:hint="default" w:asciiTheme="minorEastAsia" w:hAnsiTheme="minorEastAsia" w:eastAsiaTheme="minorEastAsia" w:cstheme="minorEastAsia"/>
          <w:b w:val="0"/>
          <w:bCs w:val="0"/>
          <w:sz w:val="24"/>
          <w:szCs w:val="24"/>
        </w:rPr>
      </w:pPr>
      <w:r>
        <w:rPr>
          <w:rFonts w:hint="default" w:asciiTheme="minorEastAsia" w:hAnsiTheme="minorEastAsia" w:eastAsiaTheme="minorEastAsia" w:cstheme="minorEastAsia"/>
          <w:b w:val="0"/>
          <w:bCs w:val="0"/>
          <w:sz w:val="24"/>
          <w:szCs w:val="24"/>
        </w:rPr>
        <w:t>贯彻执行“安全第一</w:t>
      </w:r>
      <w:r>
        <w:rPr>
          <w:rFonts w:hint="eastAsia" w:asciiTheme="minorEastAsia" w:hAnsiTheme="minorEastAsia" w:eastAsiaTheme="minorEastAsia" w:cstheme="minorEastAsia"/>
          <w:b w:val="0"/>
          <w:bCs w:val="0"/>
          <w:sz w:val="24"/>
          <w:szCs w:val="24"/>
          <w:lang w:eastAsia="zh-CN"/>
        </w:rPr>
        <w:t>、</w:t>
      </w:r>
      <w:r>
        <w:rPr>
          <w:rFonts w:hint="default" w:asciiTheme="minorEastAsia" w:hAnsiTheme="minorEastAsia" w:eastAsiaTheme="minorEastAsia" w:cstheme="minorEastAsia"/>
          <w:b w:val="0"/>
          <w:bCs w:val="0"/>
          <w:sz w:val="24"/>
          <w:szCs w:val="24"/>
        </w:rPr>
        <w:t>预防为主、综合治理”的安全生产方针，保持项目</w:t>
      </w:r>
      <w:r>
        <w:rPr>
          <w:rFonts w:hint="eastAsia" w:asciiTheme="minorEastAsia" w:hAnsiTheme="minorEastAsia" w:eastAsiaTheme="minorEastAsia" w:cstheme="minorEastAsia"/>
          <w:b w:val="0"/>
          <w:bCs w:val="0"/>
          <w:sz w:val="24"/>
          <w:szCs w:val="24"/>
          <w:lang w:val="en-US" w:eastAsia="zh-CN"/>
        </w:rPr>
        <w:t>施工</w:t>
      </w:r>
      <w:r>
        <w:rPr>
          <w:rFonts w:hint="default" w:asciiTheme="minorEastAsia" w:hAnsiTheme="minorEastAsia" w:eastAsiaTheme="minorEastAsia" w:cstheme="minorEastAsia"/>
          <w:b w:val="0"/>
          <w:bCs w:val="0"/>
          <w:sz w:val="24"/>
          <w:szCs w:val="24"/>
        </w:rPr>
        <w:t>安全。配备专（兼）职安监人员，加强劳动保护用品的配备和安全教育，提高施工人员劳动保护意识。</w:t>
      </w:r>
    </w:p>
    <w:p>
      <w:pPr>
        <w:pStyle w:val="7"/>
        <w:keepNext w:val="0"/>
        <w:keepLines w:val="0"/>
        <w:numPr>
          <w:ilvl w:val="5"/>
          <w:numId w:val="3"/>
        </w:numPr>
        <w:tabs>
          <w:tab w:val="left" w:pos="170"/>
          <w:tab w:val="left" w:pos="1060"/>
          <w:tab w:val="clear" w:pos="1021"/>
        </w:tabs>
        <w:spacing w:before="0" w:after="0" w:line="360" w:lineRule="auto"/>
        <w:ind w:left="0" w:leftChars="0" w:firstLine="0" w:firstLineChars="0"/>
        <w:jc w:val="left"/>
        <w:rPr>
          <w:rFonts w:hint="default" w:asciiTheme="minorEastAsia" w:hAnsiTheme="minorEastAsia" w:eastAsiaTheme="minorEastAsia" w:cstheme="minorEastAsia"/>
          <w:b w:val="0"/>
          <w:bCs w:val="0"/>
          <w:sz w:val="24"/>
          <w:szCs w:val="24"/>
        </w:rPr>
      </w:pPr>
      <w:r>
        <w:rPr>
          <w:rFonts w:hint="default" w:asciiTheme="minorEastAsia" w:hAnsiTheme="minorEastAsia" w:eastAsiaTheme="minorEastAsia" w:cstheme="minorEastAsia"/>
          <w:b w:val="0"/>
          <w:bCs w:val="0"/>
          <w:sz w:val="24"/>
          <w:szCs w:val="24"/>
        </w:rPr>
        <w:t>贯彻执行国家及各级人民政府关于安全生产的一系列方针、政策、法规、条例和规定，采取一切必要措施和手段强化</w:t>
      </w:r>
      <w:r>
        <w:rPr>
          <w:rFonts w:hint="eastAsia" w:asciiTheme="minorEastAsia" w:hAnsiTheme="minorEastAsia" w:eastAsiaTheme="minorEastAsia" w:cstheme="minorEastAsia"/>
          <w:b w:val="0"/>
          <w:bCs w:val="0"/>
          <w:sz w:val="24"/>
          <w:szCs w:val="24"/>
          <w:lang w:val="en-US" w:eastAsia="zh-CN"/>
        </w:rPr>
        <w:t>治理</w:t>
      </w:r>
      <w:r>
        <w:rPr>
          <w:rFonts w:hint="default" w:asciiTheme="minorEastAsia" w:hAnsiTheme="minorEastAsia" w:eastAsiaTheme="minorEastAsia" w:cstheme="minorEastAsia"/>
          <w:b w:val="0"/>
          <w:bCs w:val="0"/>
          <w:sz w:val="24"/>
          <w:szCs w:val="24"/>
        </w:rPr>
        <w:t>施工安全管理。</w:t>
      </w:r>
    </w:p>
    <w:p>
      <w:pPr>
        <w:pStyle w:val="7"/>
        <w:keepNext w:val="0"/>
        <w:keepLines w:val="0"/>
        <w:numPr>
          <w:ilvl w:val="5"/>
          <w:numId w:val="3"/>
        </w:numPr>
        <w:tabs>
          <w:tab w:val="left" w:pos="170"/>
          <w:tab w:val="left" w:pos="1060"/>
          <w:tab w:val="clear" w:pos="1021"/>
        </w:tabs>
        <w:spacing w:before="0" w:after="0" w:line="360" w:lineRule="auto"/>
        <w:ind w:left="0" w:leftChars="0" w:firstLine="0" w:firstLineChars="0"/>
        <w:jc w:val="left"/>
        <w:rPr>
          <w:rFonts w:hint="default" w:asciiTheme="minorEastAsia" w:hAnsiTheme="minorEastAsia" w:eastAsiaTheme="minorEastAsia" w:cstheme="minorEastAsia"/>
          <w:b w:val="0"/>
          <w:bCs w:val="0"/>
          <w:sz w:val="24"/>
          <w:szCs w:val="24"/>
        </w:rPr>
      </w:pPr>
      <w:r>
        <w:rPr>
          <w:rFonts w:hint="default" w:asciiTheme="minorEastAsia" w:hAnsiTheme="minorEastAsia" w:eastAsiaTheme="minorEastAsia" w:cstheme="minorEastAsia"/>
          <w:b w:val="0"/>
          <w:bCs w:val="0"/>
          <w:sz w:val="24"/>
          <w:szCs w:val="24"/>
        </w:rPr>
        <w:t>严格执行电力行业安全工作规程如《电业安全工作规程</w:t>
      </w:r>
      <w:r>
        <w:rPr>
          <w:rFonts w:hint="default" w:asciiTheme="minorEastAsia" w:hAnsiTheme="minorEastAsia" w:eastAsiaTheme="minorEastAsia" w:cstheme="minorEastAsia"/>
          <w:b w:val="0"/>
          <w:bCs w:val="0"/>
          <w:sz w:val="24"/>
          <w:szCs w:val="24"/>
          <w:lang w:eastAsia="zh-CN"/>
        </w:rPr>
        <w:t>》《</w:t>
      </w:r>
      <w:r>
        <w:rPr>
          <w:rFonts w:hint="default" w:asciiTheme="minorEastAsia" w:hAnsiTheme="minorEastAsia" w:eastAsiaTheme="minorEastAsia" w:cstheme="minorEastAsia"/>
          <w:b w:val="0"/>
          <w:bCs w:val="0"/>
          <w:sz w:val="24"/>
          <w:szCs w:val="24"/>
        </w:rPr>
        <w:t>电业生产事故调查规程》《电力建设安全工作规程</w:t>
      </w:r>
      <w:r>
        <w:rPr>
          <w:rFonts w:hint="default" w:asciiTheme="minorEastAsia" w:hAnsiTheme="minorEastAsia" w:eastAsiaTheme="minorEastAsia" w:cstheme="minorEastAsia"/>
          <w:b w:val="0"/>
          <w:bCs w:val="0"/>
          <w:sz w:val="24"/>
          <w:szCs w:val="24"/>
          <w:lang w:eastAsia="zh-CN"/>
        </w:rPr>
        <w:t>》《</w:t>
      </w:r>
      <w:r>
        <w:rPr>
          <w:rFonts w:hint="default" w:asciiTheme="minorEastAsia" w:hAnsiTheme="minorEastAsia" w:eastAsiaTheme="minorEastAsia" w:cstheme="minorEastAsia"/>
          <w:b w:val="0"/>
          <w:bCs w:val="0"/>
          <w:sz w:val="24"/>
          <w:szCs w:val="24"/>
        </w:rPr>
        <w:t>防止电力生产重大事故的二十五项重点要求》的有关规定，遵守招标方各项安全管理规章制度，服从招标方对安全文明生产的管理和检查、考核。</w:t>
      </w:r>
    </w:p>
    <w:p>
      <w:pPr>
        <w:pStyle w:val="7"/>
        <w:keepNext w:val="0"/>
        <w:keepLines w:val="0"/>
        <w:numPr>
          <w:ilvl w:val="5"/>
          <w:numId w:val="3"/>
        </w:numPr>
        <w:tabs>
          <w:tab w:val="left" w:pos="170"/>
          <w:tab w:val="left" w:pos="1060"/>
          <w:tab w:val="clear" w:pos="1021"/>
        </w:tabs>
        <w:spacing w:before="0" w:after="0" w:line="360" w:lineRule="auto"/>
        <w:ind w:left="0" w:leftChars="0" w:firstLine="0" w:firstLineChars="0"/>
        <w:jc w:val="left"/>
        <w:rPr>
          <w:rFonts w:hint="default" w:asciiTheme="minorEastAsia" w:hAnsiTheme="minorEastAsia" w:eastAsiaTheme="minorEastAsia" w:cstheme="minorEastAsia"/>
          <w:b w:val="0"/>
          <w:bCs w:val="0"/>
          <w:sz w:val="24"/>
          <w:szCs w:val="24"/>
        </w:rPr>
      </w:pPr>
      <w:r>
        <w:rPr>
          <w:rFonts w:hint="default" w:asciiTheme="minorEastAsia" w:hAnsiTheme="minorEastAsia" w:eastAsiaTheme="minorEastAsia" w:cstheme="minorEastAsia"/>
          <w:b w:val="0"/>
          <w:bCs w:val="0"/>
          <w:sz w:val="24"/>
          <w:szCs w:val="24"/>
        </w:rPr>
        <w:t>遵守和执行文明生产的规章制度，按照招标方的要求统一着装，</w:t>
      </w:r>
      <w:r>
        <w:rPr>
          <w:rFonts w:hint="default" w:asciiTheme="minorEastAsia" w:hAnsiTheme="minorEastAsia" w:eastAsiaTheme="minorEastAsia" w:cstheme="minorEastAsia"/>
          <w:b w:val="0"/>
          <w:bCs w:val="0"/>
          <w:sz w:val="24"/>
          <w:szCs w:val="24"/>
          <w:lang w:eastAsia="zh-CN"/>
        </w:rPr>
        <w:t>佩戴标志</w:t>
      </w:r>
      <w:r>
        <w:rPr>
          <w:rFonts w:hint="default" w:asciiTheme="minorEastAsia" w:hAnsiTheme="minorEastAsia" w:eastAsiaTheme="minorEastAsia" w:cstheme="minorEastAsia"/>
          <w:b w:val="0"/>
          <w:bCs w:val="0"/>
          <w:sz w:val="24"/>
          <w:szCs w:val="24"/>
        </w:rPr>
        <w:t>。全面关照和提醒所有在施工现场上工作或停留的人员注意安全，保持管辖范围内的设施处于有条不紊的状态，以免发生人身事故。</w:t>
      </w:r>
    </w:p>
    <w:p>
      <w:pPr>
        <w:pStyle w:val="7"/>
        <w:keepNext w:val="0"/>
        <w:keepLines w:val="0"/>
        <w:numPr>
          <w:ilvl w:val="5"/>
          <w:numId w:val="3"/>
        </w:numPr>
        <w:tabs>
          <w:tab w:val="left" w:pos="170"/>
          <w:tab w:val="left" w:pos="1060"/>
          <w:tab w:val="clear" w:pos="1021"/>
        </w:tabs>
        <w:spacing w:before="0" w:after="0" w:line="360" w:lineRule="auto"/>
        <w:ind w:left="0" w:leftChars="0" w:firstLine="0" w:firstLineChars="0"/>
        <w:jc w:val="left"/>
        <w:rPr>
          <w:rFonts w:hint="default" w:asciiTheme="minorEastAsia" w:hAnsiTheme="minorEastAsia" w:eastAsiaTheme="minorEastAsia" w:cstheme="minorEastAsia"/>
          <w:b w:val="0"/>
          <w:bCs w:val="0"/>
          <w:sz w:val="24"/>
          <w:szCs w:val="24"/>
        </w:rPr>
      </w:pPr>
      <w:r>
        <w:rPr>
          <w:rFonts w:hint="default" w:asciiTheme="minorEastAsia" w:hAnsiTheme="minorEastAsia" w:eastAsiaTheme="minorEastAsia" w:cstheme="minorEastAsia"/>
          <w:b w:val="0"/>
          <w:bCs w:val="0"/>
          <w:sz w:val="24"/>
          <w:szCs w:val="24"/>
        </w:rPr>
        <w:t>在需要的时间和地点，根据业主或有关行政部门的要求，提供和维持所有灯光、护板、栅栏、警告信号必要时应派人值班，以及进行保护或为公众提供安全和方便。未经办理有关手续不得随意在设备、结构、墙板、楼道上开孔或焊接临时结构。</w:t>
      </w:r>
    </w:p>
    <w:p>
      <w:pPr>
        <w:pStyle w:val="7"/>
        <w:keepNext w:val="0"/>
        <w:keepLines w:val="0"/>
        <w:numPr>
          <w:ilvl w:val="5"/>
          <w:numId w:val="3"/>
        </w:numPr>
        <w:tabs>
          <w:tab w:val="left" w:pos="170"/>
          <w:tab w:val="left" w:pos="1060"/>
          <w:tab w:val="clear" w:pos="1021"/>
        </w:tabs>
        <w:spacing w:before="0" w:after="0" w:line="360" w:lineRule="auto"/>
        <w:ind w:left="0" w:leftChars="0" w:firstLine="0" w:firstLineChars="0"/>
        <w:jc w:val="left"/>
        <w:rPr>
          <w:rFonts w:hint="default" w:asciiTheme="minorEastAsia" w:hAnsiTheme="minorEastAsia" w:eastAsiaTheme="minorEastAsia" w:cstheme="minorEastAsia"/>
          <w:b w:val="0"/>
          <w:bCs w:val="0"/>
          <w:sz w:val="24"/>
          <w:szCs w:val="24"/>
        </w:rPr>
      </w:pPr>
      <w:r>
        <w:rPr>
          <w:rFonts w:hint="default" w:asciiTheme="minorEastAsia" w:hAnsiTheme="minorEastAsia" w:eastAsiaTheme="minorEastAsia" w:cstheme="minorEastAsia"/>
          <w:b w:val="0"/>
          <w:bCs w:val="0"/>
          <w:sz w:val="24"/>
          <w:szCs w:val="24"/>
        </w:rPr>
        <w:t>预防或最大限度地减少对附近环境的干扰，以避免因维护检修服务引起的污染、噪声</w:t>
      </w:r>
      <w:r>
        <w:rPr>
          <w:rFonts w:hint="default" w:asciiTheme="minorEastAsia" w:hAnsiTheme="minorEastAsia" w:eastAsiaTheme="minorEastAsia" w:cstheme="minorEastAsia"/>
          <w:b w:val="0"/>
          <w:bCs w:val="0"/>
          <w:sz w:val="24"/>
          <w:szCs w:val="24"/>
          <w:lang w:eastAsia="zh-CN"/>
        </w:rPr>
        <w:t>和其他</w:t>
      </w:r>
      <w:r>
        <w:rPr>
          <w:rFonts w:hint="default" w:asciiTheme="minorEastAsia" w:hAnsiTheme="minorEastAsia" w:eastAsiaTheme="minorEastAsia" w:cstheme="minorEastAsia"/>
          <w:b w:val="0"/>
          <w:bCs w:val="0"/>
          <w:sz w:val="24"/>
          <w:szCs w:val="24"/>
        </w:rPr>
        <w:t>因素对公众或公众财产等造成伤害或妨碍。保持本项目范围内环境干净、卫生、整洁。</w:t>
      </w:r>
    </w:p>
    <w:p>
      <w:pPr>
        <w:pStyle w:val="7"/>
        <w:keepNext w:val="0"/>
        <w:keepLines w:val="0"/>
        <w:numPr>
          <w:ilvl w:val="5"/>
          <w:numId w:val="3"/>
        </w:numPr>
        <w:tabs>
          <w:tab w:val="left" w:pos="170"/>
          <w:tab w:val="left" w:pos="1060"/>
          <w:tab w:val="clear" w:pos="1021"/>
        </w:tabs>
        <w:spacing w:before="0" w:after="0" w:line="360" w:lineRule="auto"/>
        <w:ind w:left="0" w:leftChars="0" w:firstLine="0" w:firstLineChars="0"/>
        <w:jc w:val="left"/>
        <w:rPr>
          <w:rFonts w:hint="default" w:asciiTheme="minorEastAsia" w:hAnsiTheme="minorEastAsia" w:eastAsiaTheme="minorEastAsia" w:cstheme="minorEastAsia"/>
          <w:b w:val="0"/>
          <w:bCs w:val="0"/>
          <w:sz w:val="24"/>
          <w:szCs w:val="24"/>
        </w:rPr>
      </w:pPr>
      <w:r>
        <w:rPr>
          <w:rFonts w:hint="default" w:asciiTheme="minorEastAsia" w:hAnsiTheme="minorEastAsia" w:eastAsiaTheme="minorEastAsia" w:cstheme="minorEastAsia"/>
          <w:b w:val="0"/>
          <w:bCs w:val="0"/>
          <w:sz w:val="24"/>
          <w:szCs w:val="24"/>
        </w:rPr>
        <w:t>每天定时对本项目范围内的地面进行卫生清扫，定点向外运送垃圾，定期对建、构筑物楼梯、栏杆、扶手等进行卫生清理、打扫。</w:t>
      </w:r>
    </w:p>
    <w:p>
      <w:pPr>
        <w:pStyle w:val="7"/>
        <w:keepNext w:val="0"/>
        <w:keepLines w:val="0"/>
        <w:numPr>
          <w:ilvl w:val="5"/>
          <w:numId w:val="3"/>
        </w:numPr>
        <w:tabs>
          <w:tab w:val="left" w:pos="170"/>
          <w:tab w:val="left" w:pos="1060"/>
          <w:tab w:val="clear" w:pos="1021"/>
        </w:tabs>
        <w:spacing w:before="0" w:after="0" w:line="360" w:lineRule="auto"/>
        <w:ind w:left="0" w:leftChars="0" w:firstLine="0" w:firstLineChars="0"/>
        <w:jc w:val="left"/>
        <w:rPr>
          <w:rFonts w:hint="default" w:asciiTheme="minorEastAsia" w:hAnsiTheme="minorEastAsia" w:eastAsiaTheme="minorEastAsia" w:cstheme="minorEastAsia"/>
          <w:b w:val="0"/>
          <w:bCs w:val="0"/>
          <w:sz w:val="24"/>
          <w:szCs w:val="24"/>
        </w:rPr>
      </w:pPr>
      <w:r>
        <w:rPr>
          <w:rFonts w:hint="default" w:asciiTheme="minorEastAsia" w:hAnsiTheme="minorEastAsia" w:eastAsiaTheme="minorEastAsia" w:cstheme="minorEastAsia"/>
          <w:b w:val="0"/>
          <w:bCs w:val="0"/>
          <w:sz w:val="24"/>
          <w:szCs w:val="24"/>
        </w:rPr>
        <w:t>本项目范围内任何公共设施或财产（包括但不限于树木、草坪、道路、照明）不得损坏，严禁防腐涂料直接置放于绿化范围。</w:t>
      </w:r>
    </w:p>
    <w:p>
      <w:pPr>
        <w:pStyle w:val="7"/>
        <w:keepNext w:val="0"/>
        <w:keepLines w:val="0"/>
        <w:numPr>
          <w:ilvl w:val="5"/>
          <w:numId w:val="3"/>
        </w:numPr>
        <w:tabs>
          <w:tab w:val="left" w:pos="170"/>
          <w:tab w:val="left" w:pos="1060"/>
          <w:tab w:val="clear" w:pos="1021"/>
        </w:tabs>
        <w:spacing w:before="0" w:after="0" w:line="360" w:lineRule="auto"/>
        <w:ind w:left="0" w:leftChars="0" w:firstLine="0" w:firstLineChars="0"/>
        <w:jc w:val="left"/>
        <w:rPr>
          <w:rFonts w:hint="default" w:asciiTheme="minorEastAsia" w:hAnsiTheme="minorEastAsia" w:eastAsiaTheme="minorEastAsia" w:cstheme="minorEastAsia"/>
          <w:b w:val="0"/>
          <w:bCs w:val="0"/>
          <w:sz w:val="24"/>
          <w:szCs w:val="24"/>
        </w:rPr>
      </w:pPr>
      <w:r>
        <w:rPr>
          <w:rFonts w:hint="default" w:asciiTheme="minorEastAsia" w:hAnsiTheme="minorEastAsia" w:eastAsiaTheme="minorEastAsia" w:cstheme="minorEastAsia"/>
          <w:b w:val="0"/>
          <w:bCs w:val="0"/>
          <w:sz w:val="24"/>
          <w:szCs w:val="24"/>
        </w:rPr>
        <w:t>施工现场临时设施标准化，有序不乱，创造一个良好的生产、工作环境。</w:t>
      </w:r>
    </w:p>
    <w:p>
      <w:pPr>
        <w:pStyle w:val="7"/>
        <w:keepNext w:val="0"/>
        <w:keepLines w:val="0"/>
        <w:numPr>
          <w:ilvl w:val="5"/>
          <w:numId w:val="3"/>
        </w:numPr>
        <w:tabs>
          <w:tab w:val="left" w:pos="170"/>
          <w:tab w:val="left" w:pos="1060"/>
          <w:tab w:val="clear" w:pos="1021"/>
        </w:tabs>
        <w:spacing w:before="0" w:after="0" w:line="360" w:lineRule="auto"/>
        <w:ind w:left="0" w:leftChars="0" w:firstLine="0" w:firstLineChars="0"/>
        <w:jc w:val="left"/>
        <w:rPr>
          <w:rFonts w:hint="default" w:asciiTheme="minorEastAsia" w:hAnsiTheme="minorEastAsia" w:eastAsiaTheme="minorEastAsia" w:cstheme="minorEastAsia"/>
          <w:b w:val="0"/>
          <w:bCs w:val="0"/>
          <w:sz w:val="24"/>
          <w:szCs w:val="24"/>
        </w:rPr>
      </w:pPr>
      <w:r>
        <w:rPr>
          <w:rFonts w:hint="default" w:asciiTheme="minorEastAsia" w:hAnsiTheme="minorEastAsia" w:eastAsiaTheme="minorEastAsia" w:cstheme="minorEastAsia"/>
          <w:b w:val="0"/>
          <w:bCs w:val="0"/>
          <w:sz w:val="24"/>
          <w:szCs w:val="24"/>
        </w:rPr>
        <w:t>施工现场做到材料、机具、设备、构件和周转材料整齐堆放，</w:t>
      </w:r>
      <w:r>
        <w:rPr>
          <w:rFonts w:hint="default" w:asciiTheme="minorEastAsia" w:hAnsiTheme="minorEastAsia" w:eastAsiaTheme="minorEastAsia" w:cstheme="minorEastAsia"/>
          <w:b w:val="0"/>
          <w:bCs w:val="0"/>
          <w:sz w:val="24"/>
          <w:szCs w:val="24"/>
          <w:lang w:eastAsia="zh-CN"/>
        </w:rPr>
        <w:t>实行</w:t>
      </w:r>
      <w:r>
        <w:rPr>
          <w:rFonts w:hint="default" w:asciiTheme="minorEastAsia" w:hAnsiTheme="minorEastAsia" w:eastAsiaTheme="minorEastAsia" w:cstheme="minorEastAsia"/>
          <w:b w:val="0"/>
          <w:bCs w:val="0"/>
          <w:sz w:val="24"/>
          <w:szCs w:val="24"/>
        </w:rPr>
        <w:t>定置管理，施工场地、道路平整干净。</w:t>
      </w:r>
    </w:p>
    <w:p>
      <w:pPr>
        <w:pStyle w:val="7"/>
        <w:keepNext w:val="0"/>
        <w:keepLines w:val="0"/>
        <w:numPr>
          <w:ilvl w:val="5"/>
          <w:numId w:val="3"/>
        </w:numPr>
        <w:tabs>
          <w:tab w:val="left" w:pos="170"/>
          <w:tab w:val="left" w:pos="1060"/>
          <w:tab w:val="clear" w:pos="1021"/>
        </w:tabs>
        <w:spacing w:before="0" w:after="0" w:line="360" w:lineRule="auto"/>
        <w:ind w:left="0" w:leftChars="0" w:firstLine="0" w:firstLineChars="0"/>
        <w:jc w:val="left"/>
        <w:rPr>
          <w:rFonts w:hint="default" w:asciiTheme="minorEastAsia" w:hAnsiTheme="minorEastAsia" w:eastAsiaTheme="minorEastAsia" w:cstheme="minorEastAsia"/>
          <w:b w:val="0"/>
          <w:bCs w:val="0"/>
          <w:sz w:val="24"/>
          <w:szCs w:val="24"/>
        </w:rPr>
      </w:pPr>
      <w:r>
        <w:rPr>
          <w:rFonts w:hint="default" w:asciiTheme="minorEastAsia" w:hAnsiTheme="minorEastAsia" w:eastAsiaTheme="minorEastAsia" w:cstheme="minorEastAsia"/>
          <w:b w:val="0"/>
          <w:bCs w:val="0"/>
          <w:sz w:val="24"/>
          <w:szCs w:val="24"/>
        </w:rPr>
        <w:t>施工现场所的剩余材料及时回收，做到“工完、料尽、场地清”。</w:t>
      </w:r>
    </w:p>
    <w:p>
      <w:pPr>
        <w:pStyle w:val="7"/>
        <w:keepNext w:val="0"/>
        <w:keepLines w:val="0"/>
        <w:numPr>
          <w:ilvl w:val="5"/>
          <w:numId w:val="3"/>
        </w:numPr>
        <w:tabs>
          <w:tab w:val="left" w:pos="170"/>
          <w:tab w:val="left" w:pos="1060"/>
          <w:tab w:val="clear" w:pos="1021"/>
        </w:tabs>
        <w:spacing w:before="0" w:after="0" w:line="360" w:lineRule="auto"/>
        <w:ind w:left="0" w:leftChars="0" w:firstLine="0" w:firstLineChars="0"/>
        <w:jc w:val="left"/>
        <w:rPr>
          <w:rFonts w:hint="default" w:asciiTheme="minorEastAsia" w:hAnsiTheme="minorEastAsia" w:eastAsiaTheme="minorEastAsia" w:cstheme="minorEastAsia"/>
          <w:b w:val="0"/>
          <w:bCs w:val="0"/>
          <w:sz w:val="24"/>
          <w:szCs w:val="24"/>
        </w:rPr>
      </w:pPr>
      <w:r>
        <w:rPr>
          <w:rFonts w:hint="default" w:asciiTheme="minorEastAsia" w:hAnsiTheme="minorEastAsia" w:eastAsiaTheme="minorEastAsia" w:cstheme="minorEastAsia"/>
          <w:b w:val="0"/>
          <w:bCs w:val="0"/>
          <w:sz w:val="24"/>
          <w:szCs w:val="24"/>
        </w:rPr>
        <w:t>施工现场管理人员和个人应戴分色或有区别的安全帽，管理人员戴袖章或标志。</w:t>
      </w:r>
    </w:p>
    <w:p>
      <w:pPr>
        <w:pStyle w:val="7"/>
        <w:keepNext w:val="0"/>
        <w:keepLines w:val="0"/>
        <w:numPr>
          <w:ilvl w:val="5"/>
          <w:numId w:val="3"/>
        </w:numPr>
        <w:tabs>
          <w:tab w:val="left" w:pos="170"/>
          <w:tab w:val="left" w:pos="1060"/>
          <w:tab w:val="clear" w:pos="1021"/>
        </w:tabs>
        <w:spacing w:before="0" w:after="0" w:line="360" w:lineRule="auto"/>
        <w:ind w:left="0" w:leftChars="0" w:firstLine="0" w:firstLineChars="0"/>
        <w:jc w:val="left"/>
        <w:rPr>
          <w:rFonts w:hint="default" w:asciiTheme="minorEastAsia" w:hAnsiTheme="minorEastAsia" w:eastAsiaTheme="minorEastAsia" w:cstheme="minorEastAsia"/>
          <w:b w:val="0"/>
          <w:bCs w:val="0"/>
          <w:sz w:val="24"/>
          <w:szCs w:val="24"/>
        </w:rPr>
      </w:pPr>
      <w:r>
        <w:rPr>
          <w:rFonts w:hint="default" w:asciiTheme="minorEastAsia" w:hAnsiTheme="minorEastAsia" w:eastAsiaTheme="minorEastAsia" w:cstheme="minorEastAsia"/>
          <w:b w:val="0"/>
          <w:bCs w:val="0"/>
          <w:sz w:val="24"/>
          <w:szCs w:val="24"/>
        </w:rPr>
        <w:t>脚手架搭设标准、规范化，做到验收合格并挂牌使用。</w:t>
      </w:r>
    </w:p>
    <w:p>
      <w:pPr>
        <w:pStyle w:val="7"/>
        <w:keepNext w:val="0"/>
        <w:keepLines w:val="0"/>
        <w:numPr>
          <w:ilvl w:val="5"/>
          <w:numId w:val="3"/>
        </w:numPr>
        <w:tabs>
          <w:tab w:val="left" w:pos="170"/>
          <w:tab w:val="left" w:pos="1060"/>
          <w:tab w:val="clear" w:pos="1021"/>
        </w:tabs>
        <w:spacing w:before="0" w:after="0" w:line="360" w:lineRule="auto"/>
        <w:ind w:left="0" w:leftChars="0" w:firstLine="0" w:firstLineChars="0"/>
        <w:jc w:val="left"/>
        <w:rPr>
          <w:rFonts w:hint="default" w:asciiTheme="minorEastAsia" w:hAnsiTheme="minorEastAsia" w:eastAsiaTheme="minorEastAsia" w:cstheme="minorEastAsia"/>
          <w:b w:val="0"/>
          <w:bCs w:val="0"/>
          <w:sz w:val="24"/>
          <w:szCs w:val="24"/>
        </w:rPr>
      </w:pPr>
      <w:r>
        <w:rPr>
          <w:rFonts w:hint="default" w:asciiTheme="minorEastAsia" w:hAnsiTheme="minorEastAsia" w:eastAsiaTheme="minorEastAsia" w:cstheme="minorEastAsia"/>
          <w:b w:val="0"/>
          <w:bCs w:val="0"/>
          <w:sz w:val="24"/>
          <w:szCs w:val="24"/>
        </w:rPr>
        <w:t>施工现场做到机械设备整洁，安全保护措施齐全可靠，标识醒目。</w:t>
      </w:r>
    </w:p>
    <w:p>
      <w:pPr>
        <w:pStyle w:val="7"/>
        <w:keepNext w:val="0"/>
        <w:keepLines w:val="0"/>
        <w:numPr>
          <w:ilvl w:val="5"/>
          <w:numId w:val="3"/>
        </w:numPr>
        <w:tabs>
          <w:tab w:val="left" w:pos="170"/>
          <w:tab w:val="left" w:pos="1060"/>
          <w:tab w:val="clear" w:pos="1021"/>
        </w:tabs>
        <w:spacing w:before="0" w:after="0" w:line="360" w:lineRule="auto"/>
        <w:ind w:left="0" w:leftChars="0" w:firstLine="0" w:firstLineChars="0"/>
        <w:jc w:val="left"/>
        <w:rPr>
          <w:rFonts w:hint="default" w:asciiTheme="minorEastAsia" w:hAnsiTheme="minorEastAsia" w:eastAsiaTheme="minorEastAsia" w:cstheme="minorEastAsia"/>
          <w:b w:val="0"/>
          <w:bCs w:val="0"/>
          <w:sz w:val="24"/>
          <w:szCs w:val="24"/>
        </w:rPr>
      </w:pPr>
      <w:r>
        <w:rPr>
          <w:rFonts w:hint="default" w:asciiTheme="minorEastAsia" w:hAnsiTheme="minorEastAsia" w:eastAsiaTheme="minorEastAsia" w:cstheme="minorEastAsia"/>
          <w:b w:val="0"/>
          <w:bCs w:val="0"/>
          <w:sz w:val="24"/>
          <w:szCs w:val="24"/>
        </w:rPr>
        <w:t>施工现场制定防火制度并设置明显的防火标志，责任到人，配备足够的消防器材，防火疏散道路通道畅通；现场油漆及其相关易燃易爆物品的管理必须符合消防安全管理。</w:t>
      </w:r>
    </w:p>
    <w:p>
      <w:pPr>
        <w:pStyle w:val="7"/>
        <w:keepNext w:val="0"/>
        <w:keepLines w:val="0"/>
        <w:numPr>
          <w:ilvl w:val="5"/>
          <w:numId w:val="3"/>
        </w:numPr>
        <w:tabs>
          <w:tab w:val="left" w:pos="170"/>
          <w:tab w:val="left" w:pos="1060"/>
          <w:tab w:val="clear" w:pos="1021"/>
        </w:tabs>
        <w:spacing w:before="0" w:after="0" w:line="360" w:lineRule="auto"/>
        <w:ind w:left="0" w:leftChars="0" w:firstLine="0" w:firstLineChars="0"/>
        <w:jc w:val="left"/>
        <w:rPr>
          <w:rFonts w:hint="default" w:asciiTheme="minorEastAsia" w:hAnsiTheme="minorEastAsia" w:eastAsiaTheme="minorEastAsia" w:cstheme="minorEastAsia"/>
          <w:b w:val="0"/>
          <w:bCs w:val="0"/>
          <w:sz w:val="24"/>
          <w:szCs w:val="24"/>
        </w:rPr>
      </w:pPr>
      <w:r>
        <w:rPr>
          <w:rFonts w:hint="default" w:asciiTheme="minorEastAsia" w:hAnsiTheme="minorEastAsia" w:eastAsiaTheme="minorEastAsia" w:cstheme="minorEastAsia"/>
          <w:b w:val="0"/>
          <w:bCs w:val="0"/>
          <w:sz w:val="24"/>
          <w:szCs w:val="24"/>
        </w:rPr>
        <w:t>对参与本</w:t>
      </w:r>
      <w:r>
        <w:rPr>
          <w:rFonts w:hint="eastAsia" w:asciiTheme="minorEastAsia" w:hAnsiTheme="minorEastAsia" w:eastAsiaTheme="minorEastAsia" w:cstheme="minorEastAsia"/>
          <w:b w:val="0"/>
          <w:bCs w:val="0"/>
          <w:sz w:val="24"/>
          <w:szCs w:val="24"/>
          <w:lang w:val="en-US" w:eastAsia="zh-CN"/>
        </w:rPr>
        <w:t>治理</w:t>
      </w:r>
      <w:r>
        <w:rPr>
          <w:rFonts w:hint="default" w:asciiTheme="minorEastAsia" w:hAnsiTheme="minorEastAsia" w:eastAsiaTheme="minorEastAsia" w:cstheme="minorEastAsia"/>
          <w:b w:val="0"/>
          <w:bCs w:val="0"/>
          <w:sz w:val="24"/>
          <w:szCs w:val="24"/>
        </w:rPr>
        <w:t>施工</w:t>
      </w:r>
      <w:r>
        <w:rPr>
          <w:rFonts w:hint="eastAsia" w:asciiTheme="minorEastAsia" w:hAnsiTheme="minorEastAsia" w:eastAsiaTheme="minorEastAsia" w:cstheme="minorEastAsia"/>
          <w:b w:val="0"/>
          <w:bCs w:val="0"/>
          <w:sz w:val="24"/>
          <w:szCs w:val="24"/>
          <w:lang w:val="en-US" w:eastAsia="zh-CN"/>
        </w:rPr>
        <w:t>项目</w:t>
      </w:r>
      <w:r>
        <w:rPr>
          <w:rFonts w:hint="default" w:asciiTheme="minorEastAsia" w:hAnsiTheme="minorEastAsia" w:eastAsiaTheme="minorEastAsia" w:cstheme="minorEastAsia"/>
          <w:b w:val="0"/>
          <w:bCs w:val="0"/>
          <w:sz w:val="24"/>
          <w:szCs w:val="24"/>
        </w:rPr>
        <w:t>的人员进行社会公德、职业道德、职业</w:t>
      </w:r>
      <w:r>
        <w:rPr>
          <w:rFonts w:hint="default" w:asciiTheme="minorEastAsia" w:hAnsiTheme="minorEastAsia" w:eastAsiaTheme="minorEastAsia" w:cstheme="minorEastAsia"/>
          <w:b w:val="0"/>
          <w:bCs w:val="0"/>
          <w:sz w:val="24"/>
          <w:szCs w:val="24"/>
          <w:lang w:eastAsia="zh-CN"/>
        </w:rPr>
        <w:t>纪律</w:t>
      </w:r>
      <w:r>
        <w:rPr>
          <w:rFonts w:hint="default" w:asciiTheme="minorEastAsia" w:hAnsiTheme="minorEastAsia" w:eastAsiaTheme="minorEastAsia" w:cstheme="minorEastAsia"/>
          <w:b w:val="0"/>
          <w:bCs w:val="0"/>
          <w:sz w:val="24"/>
          <w:szCs w:val="24"/>
        </w:rPr>
        <w:t>的教育，妥善处理施工现场友邻单位的关系，争取各有关单位人员的谅解和支持，控制施工噪声和粉尘，确保生产机组的正常运行。</w:t>
      </w:r>
    </w:p>
    <w:p>
      <w:pPr>
        <w:pStyle w:val="7"/>
        <w:keepNext w:val="0"/>
        <w:keepLines w:val="0"/>
        <w:numPr>
          <w:ilvl w:val="5"/>
          <w:numId w:val="3"/>
        </w:numPr>
        <w:tabs>
          <w:tab w:val="left" w:pos="170"/>
          <w:tab w:val="left" w:pos="1060"/>
          <w:tab w:val="clear" w:pos="1021"/>
        </w:tabs>
        <w:spacing w:before="0" w:after="0" w:line="360" w:lineRule="auto"/>
        <w:ind w:left="0" w:leftChars="0" w:firstLine="0" w:firstLineChars="0"/>
        <w:jc w:val="left"/>
        <w:rPr>
          <w:rFonts w:hint="default" w:asciiTheme="minorEastAsia" w:hAnsiTheme="minorEastAsia" w:eastAsiaTheme="minorEastAsia" w:cstheme="minorEastAsia"/>
          <w:b w:val="0"/>
          <w:bCs w:val="0"/>
          <w:sz w:val="24"/>
          <w:szCs w:val="24"/>
        </w:rPr>
      </w:pPr>
      <w:r>
        <w:rPr>
          <w:rFonts w:hint="default" w:asciiTheme="minorEastAsia" w:hAnsiTheme="minorEastAsia" w:eastAsiaTheme="minorEastAsia" w:cstheme="minorEastAsia"/>
          <w:b w:val="0"/>
          <w:bCs w:val="0"/>
          <w:sz w:val="24"/>
          <w:szCs w:val="24"/>
        </w:rPr>
        <w:t>临时施工用电路线架设符合安全要求，电源盘箱配置标准化盘箱，照明布置合理，照度足够，施工用电必须由专业电工负责，并做好日常施工用电检查，并保留管理痕迹。</w:t>
      </w:r>
    </w:p>
    <w:p>
      <w:pPr>
        <w:pStyle w:val="7"/>
        <w:keepNext w:val="0"/>
        <w:keepLines w:val="0"/>
        <w:numPr>
          <w:ilvl w:val="5"/>
          <w:numId w:val="3"/>
        </w:numPr>
        <w:tabs>
          <w:tab w:val="left" w:pos="170"/>
          <w:tab w:val="left" w:pos="1060"/>
          <w:tab w:val="clear" w:pos="1021"/>
        </w:tabs>
        <w:spacing w:before="0" w:after="0" w:line="360" w:lineRule="auto"/>
        <w:ind w:left="0" w:leftChars="0" w:firstLine="0" w:firstLineChars="0"/>
        <w:jc w:val="left"/>
        <w:rPr>
          <w:rFonts w:hint="default" w:asciiTheme="minorEastAsia" w:hAnsiTheme="minorEastAsia" w:eastAsiaTheme="minorEastAsia" w:cstheme="minorEastAsia"/>
          <w:b w:val="0"/>
          <w:bCs w:val="0"/>
          <w:sz w:val="24"/>
          <w:szCs w:val="24"/>
        </w:rPr>
      </w:pPr>
      <w:r>
        <w:rPr>
          <w:rFonts w:hint="default" w:asciiTheme="minorEastAsia" w:hAnsiTheme="minorEastAsia" w:eastAsiaTheme="minorEastAsia" w:cstheme="minorEastAsia"/>
          <w:b w:val="0"/>
          <w:bCs w:val="0"/>
          <w:sz w:val="24"/>
          <w:szCs w:val="24"/>
        </w:rPr>
        <w:t>加强现场安全保卫工作，严格控制非施工人员进入施工现场。</w:t>
      </w:r>
    </w:p>
    <w:p>
      <w:pPr>
        <w:pStyle w:val="7"/>
        <w:keepNext w:val="0"/>
        <w:keepLines w:val="0"/>
        <w:numPr>
          <w:ilvl w:val="5"/>
          <w:numId w:val="3"/>
        </w:numPr>
        <w:tabs>
          <w:tab w:val="left" w:pos="170"/>
          <w:tab w:val="left" w:pos="1060"/>
          <w:tab w:val="clear" w:pos="1021"/>
        </w:tabs>
        <w:spacing w:before="0" w:after="0" w:line="360" w:lineRule="auto"/>
        <w:ind w:left="0" w:leftChars="0" w:firstLine="0" w:firstLineChars="0"/>
        <w:jc w:val="left"/>
        <w:rPr>
          <w:rFonts w:hint="default" w:asciiTheme="minorEastAsia" w:hAnsiTheme="minorEastAsia" w:eastAsiaTheme="minorEastAsia" w:cstheme="minorEastAsia"/>
          <w:b w:val="0"/>
          <w:bCs w:val="0"/>
          <w:sz w:val="24"/>
          <w:szCs w:val="24"/>
        </w:rPr>
      </w:pPr>
      <w:r>
        <w:rPr>
          <w:rFonts w:hint="default" w:asciiTheme="minorEastAsia" w:hAnsiTheme="minorEastAsia" w:eastAsiaTheme="minorEastAsia" w:cstheme="minorEastAsia"/>
          <w:b w:val="0"/>
          <w:bCs w:val="0"/>
          <w:sz w:val="24"/>
          <w:szCs w:val="24"/>
        </w:rPr>
        <w:t>施工开始前必须向全体作业人员进行安全技术交底，让作业人员了解和掌握工程特点及施工安全措施。</w:t>
      </w:r>
    </w:p>
    <w:p>
      <w:pPr>
        <w:pStyle w:val="7"/>
        <w:keepNext w:val="0"/>
        <w:keepLines w:val="0"/>
        <w:numPr>
          <w:ilvl w:val="5"/>
          <w:numId w:val="3"/>
        </w:numPr>
        <w:tabs>
          <w:tab w:val="left" w:pos="170"/>
          <w:tab w:val="left" w:pos="1060"/>
          <w:tab w:val="clear" w:pos="1021"/>
        </w:tabs>
        <w:spacing w:before="0" w:after="0" w:line="360" w:lineRule="auto"/>
        <w:ind w:left="0" w:leftChars="0" w:firstLine="0" w:firstLineChars="0"/>
        <w:jc w:val="left"/>
        <w:rPr>
          <w:rFonts w:hint="default" w:asciiTheme="minorEastAsia" w:hAnsiTheme="minorEastAsia" w:eastAsiaTheme="minorEastAsia" w:cstheme="minorEastAsia"/>
          <w:b w:val="0"/>
          <w:bCs w:val="0"/>
          <w:sz w:val="24"/>
          <w:szCs w:val="24"/>
        </w:rPr>
      </w:pPr>
      <w:r>
        <w:rPr>
          <w:rFonts w:hint="default" w:asciiTheme="minorEastAsia" w:hAnsiTheme="minorEastAsia" w:eastAsiaTheme="minorEastAsia" w:cstheme="minorEastAsia"/>
          <w:b w:val="0"/>
          <w:bCs w:val="0"/>
          <w:sz w:val="24"/>
          <w:szCs w:val="24"/>
        </w:rPr>
        <w:t>在有危险性的生产区域，如可能发生火灾、爆炸、触电、高空坠落、中毒、窒息、机械伤害、烧烫伤等容易引起人员伤害和设备事故的场所作业前，应制定安全措施并经业主审查合格后严格实施。</w:t>
      </w:r>
    </w:p>
    <w:p>
      <w:pPr>
        <w:pStyle w:val="7"/>
        <w:keepNext w:val="0"/>
        <w:keepLines w:val="0"/>
        <w:numPr>
          <w:ilvl w:val="5"/>
          <w:numId w:val="3"/>
        </w:numPr>
        <w:tabs>
          <w:tab w:val="left" w:pos="170"/>
          <w:tab w:val="left" w:pos="1060"/>
          <w:tab w:val="clear" w:pos="1021"/>
        </w:tabs>
        <w:spacing w:before="0" w:after="0" w:line="360" w:lineRule="auto"/>
        <w:ind w:left="0" w:leftChars="0" w:firstLine="0" w:firstLineChars="0"/>
        <w:jc w:val="left"/>
        <w:rPr>
          <w:rFonts w:hint="default" w:asciiTheme="minorEastAsia" w:hAnsiTheme="minorEastAsia" w:eastAsiaTheme="minorEastAsia" w:cstheme="minorEastAsia"/>
          <w:b w:val="0"/>
          <w:bCs w:val="0"/>
          <w:sz w:val="24"/>
          <w:szCs w:val="24"/>
        </w:rPr>
      </w:pPr>
      <w:r>
        <w:rPr>
          <w:rFonts w:hint="default" w:asciiTheme="minorEastAsia" w:hAnsiTheme="minorEastAsia" w:eastAsiaTheme="minorEastAsia" w:cstheme="minorEastAsia"/>
          <w:b w:val="0"/>
          <w:bCs w:val="0"/>
          <w:sz w:val="24"/>
          <w:szCs w:val="24"/>
        </w:rPr>
        <w:t>满足</w:t>
      </w:r>
      <w:r>
        <w:rPr>
          <w:rFonts w:hint="eastAsia" w:asciiTheme="minorEastAsia" w:hAnsiTheme="minorEastAsia" w:eastAsiaTheme="minorEastAsia" w:cstheme="minorEastAsia"/>
          <w:b w:val="0"/>
          <w:bCs w:val="0"/>
          <w:sz w:val="24"/>
          <w:szCs w:val="24"/>
          <w:lang w:val="en-US" w:eastAsia="zh-CN"/>
        </w:rPr>
        <w:t>招标方</w:t>
      </w:r>
      <w:r>
        <w:rPr>
          <w:rFonts w:hint="default" w:asciiTheme="minorEastAsia" w:hAnsiTheme="minorEastAsia" w:eastAsiaTheme="minorEastAsia" w:cstheme="minorEastAsia"/>
          <w:b w:val="0"/>
          <w:bCs w:val="0"/>
          <w:sz w:val="24"/>
          <w:szCs w:val="24"/>
        </w:rPr>
        <w:t>对文明生产工作的要求，遵守现场文明生产管理的有关规定，保持现场整洁、有序，作业时做到“三无”（无油迹、无水、无灰），“三齐”（拆下的</w:t>
      </w:r>
      <w:r>
        <w:rPr>
          <w:rFonts w:hint="eastAsia" w:asciiTheme="minorEastAsia" w:hAnsiTheme="minorEastAsia" w:eastAsiaTheme="minorEastAsia" w:cstheme="minorEastAsia"/>
          <w:b w:val="0"/>
          <w:bCs w:val="0"/>
          <w:sz w:val="24"/>
          <w:szCs w:val="24"/>
          <w:lang w:val="en-US" w:eastAsia="zh-CN"/>
        </w:rPr>
        <w:t>设施</w:t>
      </w:r>
      <w:r>
        <w:rPr>
          <w:rFonts w:hint="default" w:asciiTheme="minorEastAsia" w:hAnsiTheme="minorEastAsia" w:eastAsiaTheme="minorEastAsia" w:cstheme="minorEastAsia"/>
          <w:b w:val="0"/>
          <w:bCs w:val="0"/>
          <w:sz w:val="24"/>
          <w:szCs w:val="24"/>
        </w:rPr>
        <w:t>部件摆放整齐、检修机具摆放整齐、材料备品摆放整齐），“三不乱”（电线不乱拉、管路不乱放、杂物不乱丢），“三不落地”（拆下的设</w:t>
      </w:r>
      <w:r>
        <w:rPr>
          <w:rFonts w:hint="eastAsia" w:asciiTheme="minorEastAsia" w:hAnsiTheme="minorEastAsia" w:eastAsiaTheme="minorEastAsia" w:cstheme="minorEastAsia"/>
          <w:b w:val="0"/>
          <w:bCs w:val="0"/>
          <w:sz w:val="24"/>
          <w:szCs w:val="24"/>
          <w:lang w:val="en-US" w:eastAsia="zh-CN"/>
        </w:rPr>
        <w:t>施</w:t>
      </w:r>
      <w:r>
        <w:rPr>
          <w:rFonts w:hint="default" w:asciiTheme="minorEastAsia" w:hAnsiTheme="minorEastAsia" w:eastAsiaTheme="minorEastAsia" w:cstheme="minorEastAsia"/>
          <w:b w:val="0"/>
          <w:bCs w:val="0"/>
          <w:sz w:val="24"/>
          <w:szCs w:val="24"/>
        </w:rPr>
        <w:t>部件不落地，工器具不落地，材料备品配件不落地），每天收工前场地清扫干净，做到工完、料尽、场地清。</w:t>
      </w:r>
    </w:p>
    <w:p>
      <w:pPr>
        <w:pStyle w:val="7"/>
        <w:keepNext w:val="0"/>
        <w:keepLines w:val="0"/>
        <w:numPr>
          <w:ilvl w:val="5"/>
          <w:numId w:val="3"/>
        </w:numPr>
        <w:tabs>
          <w:tab w:val="left" w:pos="170"/>
          <w:tab w:val="left" w:pos="1060"/>
          <w:tab w:val="clear" w:pos="1021"/>
        </w:tabs>
        <w:spacing w:before="0" w:after="0" w:line="360" w:lineRule="auto"/>
        <w:ind w:left="0" w:leftChars="0" w:firstLine="0" w:firstLineChars="0"/>
        <w:jc w:val="left"/>
        <w:rPr>
          <w:rFonts w:hint="default" w:asciiTheme="minorEastAsia" w:hAnsiTheme="minorEastAsia" w:eastAsiaTheme="minorEastAsia" w:cstheme="minorEastAsia"/>
          <w:b w:val="0"/>
          <w:bCs w:val="0"/>
          <w:sz w:val="24"/>
          <w:szCs w:val="24"/>
        </w:rPr>
      </w:pPr>
      <w:r>
        <w:rPr>
          <w:rFonts w:hint="default" w:asciiTheme="minorEastAsia" w:hAnsiTheme="minorEastAsia" w:eastAsiaTheme="minorEastAsia" w:cstheme="minorEastAsia"/>
          <w:b w:val="0"/>
          <w:bCs w:val="0"/>
          <w:sz w:val="24"/>
          <w:szCs w:val="24"/>
        </w:rPr>
        <w:t>施工材料应存放有序，保证通道畅通，场地干净卫生。</w:t>
      </w:r>
    </w:p>
    <w:p>
      <w:pPr>
        <w:pStyle w:val="7"/>
        <w:keepNext w:val="0"/>
        <w:keepLines w:val="0"/>
        <w:numPr>
          <w:ilvl w:val="5"/>
          <w:numId w:val="3"/>
        </w:numPr>
        <w:tabs>
          <w:tab w:val="left" w:pos="170"/>
          <w:tab w:val="left" w:pos="1060"/>
          <w:tab w:val="clear" w:pos="1021"/>
        </w:tabs>
        <w:spacing w:before="0" w:after="0" w:line="360" w:lineRule="auto"/>
        <w:ind w:left="0" w:leftChars="0" w:firstLine="0" w:firstLineChars="0"/>
        <w:jc w:val="left"/>
        <w:rPr>
          <w:rFonts w:hint="default" w:asciiTheme="minorEastAsia" w:hAnsiTheme="minorEastAsia" w:eastAsiaTheme="minorEastAsia" w:cstheme="minorEastAsia"/>
          <w:b w:val="0"/>
          <w:bCs w:val="0"/>
          <w:sz w:val="24"/>
          <w:szCs w:val="24"/>
        </w:rPr>
      </w:pPr>
      <w:r>
        <w:rPr>
          <w:rFonts w:hint="default" w:asciiTheme="minorEastAsia" w:hAnsiTheme="minorEastAsia" w:eastAsiaTheme="minorEastAsia" w:cstheme="minorEastAsia"/>
          <w:b w:val="0"/>
          <w:bCs w:val="0"/>
          <w:sz w:val="24"/>
          <w:szCs w:val="24"/>
        </w:rPr>
        <w:t>严格按照：“工完、料尽、场地清”施工，一切</w:t>
      </w:r>
      <w:r>
        <w:rPr>
          <w:rFonts w:hint="eastAsia" w:asciiTheme="minorEastAsia" w:hAnsiTheme="minorEastAsia" w:eastAsiaTheme="minorEastAsia" w:cstheme="minorEastAsia"/>
          <w:b w:val="0"/>
          <w:bCs w:val="0"/>
          <w:sz w:val="24"/>
          <w:szCs w:val="24"/>
          <w:lang w:val="en-US" w:eastAsia="zh-CN"/>
        </w:rPr>
        <w:t>施工</w:t>
      </w:r>
      <w:r>
        <w:rPr>
          <w:rFonts w:hint="default" w:asciiTheme="minorEastAsia" w:hAnsiTheme="minorEastAsia" w:eastAsiaTheme="minorEastAsia" w:cstheme="minorEastAsia"/>
          <w:b w:val="0"/>
          <w:bCs w:val="0"/>
          <w:sz w:val="24"/>
          <w:szCs w:val="24"/>
        </w:rPr>
        <w:t>产生的废弃物应随时清理干净。</w:t>
      </w:r>
    </w:p>
    <w:p>
      <w:pPr>
        <w:pStyle w:val="7"/>
        <w:keepNext w:val="0"/>
        <w:keepLines w:val="0"/>
        <w:numPr>
          <w:ilvl w:val="5"/>
          <w:numId w:val="3"/>
        </w:numPr>
        <w:tabs>
          <w:tab w:val="left" w:pos="170"/>
          <w:tab w:val="left" w:pos="1060"/>
          <w:tab w:val="clear" w:pos="1021"/>
        </w:tabs>
        <w:spacing w:before="0" w:after="0" w:line="360" w:lineRule="auto"/>
        <w:ind w:left="0" w:leftChars="0" w:firstLine="0" w:firstLineChars="0"/>
        <w:jc w:val="left"/>
        <w:rPr>
          <w:rFonts w:hint="default" w:asciiTheme="minorEastAsia" w:hAnsiTheme="minorEastAsia" w:eastAsiaTheme="minorEastAsia" w:cstheme="minorEastAsia"/>
          <w:b w:val="0"/>
          <w:bCs w:val="0"/>
          <w:sz w:val="24"/>
          <w:szCs w:val="24"/>
        </w:rPr>
      </w:pPr>
      <w:r>
        <w:rPr>
          <w:rFonts w:hint="default" w:asciiTheme="minorEastAsia" w:hAnsiTheme="minorEastAsia" w:eastAsiaTheme="minorEastAsia" w:cstheme="minorEastAsia"/>
          <w:b w:val="0"/>
          <w:bCs w:val="0"/>
          <w:sz w:val="24"/>
          <w:szCs w:val="24"/>
        </w:rPr>
        <w:t>高处作业应拴合格的安全带，工器具要放在工具包内或用绳索拴牢使用、传递。使用的脚手架应搭设牢固，架板安好并拴牢。</w:t>
      </w:r>
    </w:p>
    <w:p>
      <w:pPr>
        <w:pStyle w:val="7"/>
        <w:keepNext w:val="0"/>
        <w:keepLines w:val="0"/>
        <w:numPr>
          <w:ilvl w:val="5"/>
          <w:numId w:val="3"/>
        </w:numPr>
        <w:tabs>
          <w:tab w:val="left" w:pos="170"/>
          <w:tab w:val="left" w:pos="1060"/>
          <w:tab w:val="clear" w:pos="1021"/>
        </w:tabs>
        <w:spacing w:before="0" w:after="0" w:line="360" w:lineRule="auto"/>
        <w:ind w:left="0" w:leftChars="0" w:firstLine="0" w:firstLineChars="0"/>
        <w:jc w:val="left"/>
        <w:rPr>
          <w:rFonts w:hint="default" w:asciiTheme="minorEastAsia" w:hAnsiTheme="minorEastAsia" w:eastAsiaTheme="minorEastAsia" w:cstheme="minorEastAsia"/>
          <w:b w:val="0"/>
          <w:bCs w:val="0"/>
          <w:sz w:val="24"/>
          <w:szCs w:val="24"/>
        </w:rPr>
      </w:pPr>
      <w:r>
        <w:rPr>
          <w:rFonts w:hint="default" w:asciiTheme="minorEastAsia" w:hAnsiTheme="minorEastAsia" w:eastAsiaTheme="minorEastAsia" w:cstheme="minorEastAsia"/>
          <w:b w:val="0"/>
          <w:bCs w:val="0"/>
          <w:sz w:val="24"/>
          <w:szCs w:val="24"/>
        </w:rPr>
        <w:t>电动工具、气动工具必须经检验合格，使用时应遵守安全规程规定，在容器内禁止使用超过12V的电动工具。</w:t>
      </w:r>
    </w:p>
    <w:p>
      <w:pPr>
        <w:pStyle w:val="7"/>
        <w:keepNext w:val="0"/>
        <w:keepLines w:val="0"/>
        <w:numPr>
          <w:ilvl w:val="5"/>
          <w:numId w:val="3"/>
        </w:numPr>
        <w:tabs>
          <w:tab w:val="left" w:pos="170"/>
          <w:tab w:val="left" w:pos="1060"/>
          <w:tab w:val="clear" w:pos="1021"/>
        </w:tabs>
        <w:spacing w:before="0" w:after="0" w:line="360" w:lineRule="auto"/>
        <w:ind w:left="0" w:leftChars="0" w:firstLine="0" w:firstLineChars="0"/>
        <w:jc w:val="left"/>
        <w:rPr>
          <w:rFonts w:hint="default" w:asciiTheme="minorEastAsia" w:hAnsiTheme="minorEastAsia" w:eastAsiaTheme="minorEastAsia" w:cstheme="minorEastAsia"/>
          <w:b w:val="0"/>
          <w:bCs w:val="0"/>
          <w:sz w:val="24"/>
          <w:szCs w:val="24"/>
        </w:rPr>
      </w:pPr>
      <w:r>
        <w:rPr>
          <w:rFonts w:hint="default" w:asciiTheme="minorEastAsia" w:hAnsiTheme="minorEastAsia" w:eastAsiaTheme="minorEastAsia" w:cstheme="minorEastAsia"/>
          <w:b w:val="0"/>
          <w:bCs w:val="0"/>
          <w:sz w:val="24"/>
          <w:szCs w:val="24"/>
        </w:rPr>
        <w:t>对影响现场文明生产的设备问题要提出合理建议，协助招标方采取必要的措施进行改造，从而达到从根本上治理，实现生产现场物见本色的目标。</w:t>
      </w:r>
    </w:p>
    <w:p>
      <w:pPr>
        <w:pStyle w:val="7"/>
        <w:keepNext w:val="0"/>
        <w:keepLines w:val="0"/>
        <w:numPr>
          <w:ilvl w:val="5"/>
          <w:numId w:val="3"/>
        </w:numPr>
        <w:tabs>
          <w:tab w:val="left" w:pos="170"/>
          <w:tab w:val="left" w:pos="1060"/>
          <w:tab w:val="clear" w:pos="1021"/>
        </w:tabs>
        <w:spacing w:before="0" w:after="0" w:line="360" w:lineRule="auto"/>
        <w:ind w:left="0" w:leftChars="0" w:firstLine="0" w:firstLineChars="0"/>
        <w:jc w:val="left"/>
        <w:rPr>
          <w:rFonts w:hint="default" w:asciiTheme="minorEastAsia" w:hAnsiTheme="minorEastAsia" w:eastAsiaTheme="minorEastAsia" w:cstheme="minorEastAsia"/>
          <w:b w:val="0"/>
          <w:bCs w:val="0"/>
          <w:sz w:val="24"/>
          <w:szCs w:val="24"/>
        </w:rPr>
      </w:pPr>
      <w:r>
        <w:rPr>
          <w:rFonts w:hint="default" w:asciiTheme="minorEastAsia" w:hAnsiTheme="minorEastAsia" w:eastAsiaTheme="minorEastAsia" w:cstheme="minorEastAsia"/>
          <w:b w:val="0"/>
          <w:bCs w:val="0"/>
          <w:sz w:val="24"/>
          <w:szCs w:val="24"/>
        </w:rPr>
        <w:t>实行文明作业及成品保护，工具、图纸、材料摆放整齐，要特别注意工器具不要随意脱手，应放在橡胶垫或木材垫板上，以防地砖损坏。检修完工后经运行验收方可结束工作票。</w:t>
      </w:r>
    </w:p>
    <w:p>
      <w:pPr>
        <w:pStyle w:val="7"/>
        <w:keepNext w:val="0"/>
        <w:keepLines w:val="0"/>
        <w:numPr>
          <w:ilvl w:val="5"/>
          <w:numId w:val="3"/>
        </w:numPr>
        <w:tabs>
          <w:tab w:val="left" w:pos="170"/>
          <w:tab w:val="left" w:pos="1060"/>
          <w:tab w:val="clear" w:pos="1021"/>
        </w:tabs>
        <w:spacing w:before="0" w:after="0" w:line="360" w:lineRule="auto"/>
        <w:ind w:left="0" w:leftChars="0" w:firstLine="0" w:firstLineChars="0"/>
        <w:jc w:val="left"/>
        <w:rPr>
          <w:rFonts w:hint="default" w:asciiTheme="minorEastAsia" w:hAnsiTheme="minorEastAsia" w:eastAsiaTheme="minorEastAsia" w:cstheme="minorEastAsia"/>
          <w:b w:val="0"/>
          <w:bCs w:val="0"/>
          <w:sz w:val="24"/>
          <w:szCs w:val="24"/>
        </w:rPr>
      </w:pPr>
      <w:r>
        <w:rPr>
          <w:rFonts w:hint="default" w:asciiTheme="minorEastAsia" w:hAnsiTheme="minorEastAsia" w:eastAsiaTheme="minorEastAsia" w:cstheme="minorEastAsia"/>
          <w:b w:val="0"/>
          <w:bCs w:val="0"/>
          <w:sz w:val="24"/>
          <w:szCs w:val="24"/>
        </w:rPr>
        <w:t>班组、值班室应窗明几净，箱柜、工具等放置有序，无积灰、无蛛网、无烟头、无痰迹，</w:t>
      </w:r>
      <w:r>
        <w:rPr>
          <w:rFonts w:hint="default" w:asciiTheme="minorEastAsia" w:hAnsiTheme="minorEastAsia" w:eastAsiaTheme="minorEastAsia" w:cstheme="minorEastAsia"/>
          <w:b w:val="0"/>
          <w:bCs w:val="0"/>
          <w:sz w:val="24"/>
          <w:szCs w:val="24"/>
          <w:lang w:eastAsia="zh-CN"/>
        </w:rPr>
        <w:t>各种台账</w:t>
      </w:r>
      <w:r>
        <w:rPr>
          <w:rFonts w:hint="default" w:asciiTheme="minorEastAsia" w:hAnsiTheme="minorEastAsia" w:eastAsiaTheme="minorEastAsia" w:cstheme="minorEastAsia"/>
          <w:b w:val="0"/>
          <w:bCs w:val="0"/>
          <w:sz w:val="24"/>
          <w:szCs w:val="24"/>
        </w:rPr>
        <w:t>整齐、规范。</w:t>
      </w:r>
    </w:p>
    <w:p>
      <w:pPr>
        <w:pStyle w:val="7"/>
        <w:keepNext w:val="0"/>
        <w:keepLines w:val="0"/>
        <w:numPr>
          <w:ilvl w:val="5"/>
          <w:numId w:val="3"/>
        </w:numPr>
        <w:tabs>
          <w:tab w:val="left" w:pos="170"/>
          <w:tab w:val="left" w:pos="1060"/>
          <w:tab w:val="clear" w:pos="1021"/>
        </w:tabs>
        <w:spacing w:before="0" w:after="0" w:line="360" w:lineRule="auto"/>
        <w:ind w:left="0" w:leftChars="0" w:firstLine="0" w:firstLineChars="0"/>
        <w:jc w:val="left"/>
        <w:rPr>
          <w:rFonts w:hint="default" w:asciiTheme="minorEastAsia" w:hAnsiTheme="minorEastAsia" w:eastAsiaTheme="minorEastAsia" w:cstheme="minorEastAsia"/>
          <w:b w:val="0"/>
          <w:bCs w:val="0"/>
          <w:sz w:val="24"/>
          <w:szCs w:val="24"/>
        </w:rPr>
      </w:pPr>
      <w:r>
        <w:rPr>
          <w:rFonts w:hint="default" w:asciiTheme="minorEastAsia" w:hAnsiTheme="minorEastAsia" w:eastAsiaTheme="minorEastAsia" w:cstheme="minorEastAsia"/>
          <w:b w:val="0"/>
          <w:bCs w:val="0"/>
          <w:sz w:val="24"/>
          <w:szCs w:val="24"/>
        </w:rPr>
        <w:t>按招标方规定每星期进行安全文明生产联合检查活动，对检查出的问题认真组织人员及时给予整改。</w:t>
      </w:r>
    </w:p>
    <w:p>
      <w:pPr>
        <w:pStyle w:val="7"/>
        <w:keepNext w:val="0"/>
        <w:keepLines w:val="0"/>
        <w:numPr>
          <w:ilvl w:val="5"/>
          <w:numId w:val="3"/>
        </w:numPr>
        <w:tabs>
          <w:tab w:val="left" w:pos="170"/>
          <w:tab w:val="left" w:pos="1060"/>
          <w:tab w:val="clear" w:pos="1021"/>
        </w:tabs>
        <w:spacing w:before="0" w:after="0" w:line="360" w:lineRule="auto"/>
        <w:ind w:left="0" w:leftChars="0" w:firstLine="0" w:firstLineChars="0"/>
        <w:jc w:val="left"/>
        <w:rPr>
          <w:rFonts w:hint="default" w:asciiTheme="minorEastAsia" w:hAnsiTheme="minorEastAsia" w:eastAsiaTheme="minorEastAsia" w:cstheme="minorEastAsia"/>
          <w:b w:val="0"/>
          <w:bCs w:val="0"/>
          <w:sz w:val="24"/>
          <w:szCs w:val="24"/>
          <w:lang w:eastAsia="zh-CN"/>
        </w:rPr>
      </w:pPr>
      <w:r>
        <w:rPr>
          <w:rFonts w:hint="default" w:asciiTheme="minorEastAsia" w:hAnsiTheme="minorEastAsia" w:eastAsiaTheme="minorEastAsia" w:cstheme="minorEastAsia"/>
          <w:b w:val="0"/>
          <w:bCs w:val="0"/>
          <w:sz w:val="24"/>
          <w:szCs w:val="24"/>
        </w:rPr>
        <w:t>现场严禁吸烟。</w:t>
      </w:r>
    </w:p>
    <w:p>
      <w:pPr>
        <w:pStyle w:val="7"/>
        <w:keepNext w:val="0"/>
        <w:keepLines w:val="0"/>
        <w:numPr>
          <w:ilvl w:val="5"/>
          <w:numId w:val="3"/>
        </w:numPr>
        <w:tabs>
          <w:tab w:val="left" w:pos="170"/>
          <w:tab w:val="left" w:pos="1060"/>
          <w:tab w:val="clear" w:pos="1021"/>
        </w:tabs>
        <w:spacing w:before="0" w:after="0" w:line="360" w:lineRule="auto"/>
        <w:ind w:left="0" w:leftChars="0" w:firstLine="0" w:firstLineChars="0"/>
        <w:jc w:val="left"/>
        <w:rPr>
          <w:rFonts w:hint="default" w:asciiTheme="minorEastAsia" w:hAnsiTheme="minorEastAsia" w:eastAsiaTheme="minorEastAsia" w:cstheme="minorEastAsia"/>
          <w:b w:val="0"/>
          <w:bCs w:val="0"/>
          <w:sz w:val="24"/>
          <w:szCs w:val="24"/>
        </w:rPr>
      </w:pPr>
      <w:r>
        <w:rPr>
          <w:rFonts w:hint="default" w:asciiTheme="minorEastAsia" w:hAnsiTheme="minorEastAsia" w:eastAsiaTheme="minorEastAsia" w:cstheme="minorEastAsia"/>
          <w:b w:val="0"/>
          <w:bCs w:val="0"/>
          <w:sz w:val="24"/>
          <w:szCs w:val="24"/>
        </w:rPr>
        <w:t>遵守所有招标方的有关文明作业的规章制度，文明检修工艺纪律。同时我方将采取措施履行如下责任：</w:t>
      </w:r>
    </w:p>
    <w:p>
      <w:pPr>
        <w:pStyle w:val="7"/>
        <w:keepNext w:val="0"/>
        <w:keepLines w:val="0"/>
        <w:pageBreakBefore w:val="0"/>
        <w:widowControl w:val="0"/>
        <w:numPr>
          <w:ilvl w:val="0"/>
          <w:numId w:val="7"/>
        </w:numPr>
        <w:tabs>
          <w:tab w:val="left" w:pos="170"/>
          <w:tab w:val="left" w:pos="840"/>
        </w:tabs>
        <w:kinsoku/>
        <w:wordWrap/>
        <w:overflowPunct/>
        <w:topLinePunct w:val="0"/>
        <w:autoSpaceDE/>
        <w:autoSpaceDN/>
        <w:bidi w:val="0"/>
        <w:adjustRightInd/>
        <w:snapToGrid/>
        <w:spacing w:before="0" w:after="0" w:line="360" w:lineRule="auto"/>
        <w:ind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为了保护设备或其他人员的安全及方便，在招标方所要求的时间和地点，以一定的费用实现以上效果的实施。</w:t>
      </w:r>
    </w:p>
    <w:p>
      <w:pPr>
        <w:pStyle w:val="7"/>
        <w:keepNext w:val="0"/>
        <w:keepLines w:val="0"/>
        <w:pageBreakBefore w:val="0"/>
        <w:widowControl w:val="0"/>
        <w:numPr>
          <w:ilvl w:val="0"/>
          <w:numId w:val="7"/>
        </w:numPr>
        <w:tabs>
          <w:tab w:val="left" w:pos="170"/>
          <w:tab w:val="left" w:pos="840"/>
        </w:tabs>
        <w:kinsoku/>
        <w:wordWrap/>
        <w:overflowPunct/>
        <w:topLinePunct w:val="0"/>
        <w:autoSpaceDE/>
        <w:autoSpaceDN/>
        <w:bidi w:val="0"/>
        <w:adjustRightInd/>
        <w:snapToGrid/>
        <w:spacing w:before="0" w:after="0" w:line="360" w:lineRule="auto"/>
        <w:ind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以一定的费用采取适当的措施，确保工作人员和劳务人员的健康和安全。</w:t>
      </w:r>
    </w:p>
    <w:p>
      <w:pPr>
        <w:pStyle w:val="7"/>
        <w:keepNext w:val="0"/>
        <w:keepLines w:val="0"/>
        <w:pageBreakBefore w:val="0"/>
        <w:widowControl w:val="0"/>
        <w:numPr>
          <w:ilvl w:val="0"/>
          <w:numId w:val="7"/>
        </w:numPr>
        <w:tabs>
          <w:tab w:val="left" w:pos="170"/>
          <w:tab w:val="left" w:pos="840"/>
        </w:tabs>
        <w:kinsoku/>
        <w:wordWrap/>
        <w:overflowPunct/>
        <w:topLinePunct w:val="0"/>
        <w:autoSpaceDE/>
        <w:autoSpaceDN/>
        <w:bidi w:val="0"/>
        <w:adjustRightInd/>
        <w:snapToGrid/>
        <w:spacing w:before="0" w:after="0" w:line="360" w:lineRule="auto"/>
        <w:ind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在任何时候均应采取一切合理的预防措施，以防止发生任何违法的、暴乱性的或妨害治安的行为，并维护治安和保护厂区附近的个人或财产免遭上述行为的破坏。</w:t>
      </w:r>
    </w:p>
    <w:p>
      <w:pPr>
        <w:pStyle w:val="7"/>
        <w:keepNext w:val="0"/>
        <w:keepLines w:val="0"/>
        <w:numPr>
          <w:ilvl w:val="5"/>
          <w:numId w:val="3"/>
        </w:numPr>
        <w:tabs>
          <w:tab w:val="left" w:pos="170"/>
          <w:tab w:val="left" w:pos="1060"/>
          <w:tab w:val="clear" w:pos="1021"/>
        </w:tabs>
        <w:spacing w:before="0" w:after="0" w:line="360" w:lineRule="auto"/>
        <w:ind w:left="0" w:leftChars="0" w:firstLine="0" w:firstLineChars="0"/>
        <w:jc w:val="left"/>
        <w:rPr>
          <w:rFonts w:hint="default" w:asciiTheme="minorEastAsia" w:hAnsiTheme="minorEastAsia" w:eastAsiaTheme="minorEastAsia" w:cstheme="minorEastAsia"/>
          <w:b w:val="0"/>
          <w:bCs w:val="0"/>
          <w:sz w:val="24"/>
          <w:szCs w:val="24"/>
          <w:lang w:val="en-US" w:eastAsia="zh-CN"/>
        </w:rPr>
      </w:pPr>
      <w:r>
        <w:rPr>
          <w:rFonts w:hint="default" w:asciiTheme="minorEastAsia" w:hAnsiTheme="minorEastAsia" w:eastAsiaTheme="minorEastAsia" w:cstheme="minorEastAsia"/>
          <w:b w:val="0"/>
          <w:bCs w:val="0"/>
          <w:sz w:val="24"/>
          <w:szCs w:val="24"/>
          <w:lang w:val="en-US" w:eastAsia="zh-CN"/>
        </w:rPr>
        <w:t>易燃品管理</w:t>
      </w:r>
    </w:p>
    <w:p>
      <w:pPr>
        <w:pStyle w:val="7"/>
        <w:keepNext w:val="0"/>
        <w:keepLines w:val="0"/>
        <w:pageBreakBefore w:val="0"/>
        <w:widowControl w:val="0"/>
        <w:numPr>
          <w:ilvl w:val="0"/>
          <w:numId w:val="8"/>
        </w:numPr>
        <w:tabs>
          <w:tab w:val="left" w:pos="170"/>
          <w:tab w:val="left" w:pos="840"/>
        </w:tabs>
        <w:kinsoku/>
        <w:wordWrap/>
        <w:overflowPunct/>
        <w:topLinePunct w:val="0"/>
        <w:autoSpaceDE/>
        <w:autoSpaceDN/>
        <w:bidi w:val="0"/>
        <w:adjustRightInd/>
        <w:snapToGrid/>
        <w:spacing w:before="0" w:after="0" w:line="360" w:lineRule="auto"/>
        <w:ind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应使用供应商所提供的易燃品包装物，并明显标示类别。</w:t>
      </w:r>
    </w:p>
    <w:p>
      <w:pPr>
        <w:pStyle w:val="7"/>
        <w:keepNext w:val="0"/>
        <w:keepLines w:val="0"/>
        <w:pageBreakBefore w:val="0"/>
        <w:widowControl w:val="0"/>
        <w:numPr>
          <w:ilvl w:val="0"/>
          <w:numId w:val="8"/>
        </w:numPr>
        <w:tabs>
          <w:tab w:val="left" w:pos="170"/>
          <w:tab w:val="left" w:pos="840"/>
        </w:tabs>
        <w:kinsoku/>
        <w:wordWrap/>
        <w:overflowPunct/>
        <w:topLinePunct w:val="0"/>
        <w:autoSpaceDE/>
        <w:autoSpaceDN/>
        <w:bidi w:val="0"/>
        <w:adjustRightInd/>
        <w:snapToGrid/>
        <w:spacing w:before="0" w:after="0" w:line="360" w:lineRule="auto"/>
        <w:ind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进入易燃品库禁带火种，不能穿能产生静电的化纤服装。</w:t>
      </w:r>
    </w:p>
    <w:p>
      <w:pPr>
        <w:pStyle w:val="7"/>
        <w:keepNext w:val="0"/>
        <w:keepLines w:val="0"/>
        <w:pageBreakBefore w:val="0"/>
        <w:widowControl w:val="0"/>
        <w:numPr>
          <w:ilvl w:val="0"/>
          <w:numId w:val="8"/>
        </w:numPr>
        <w:tabs>
          <w:tab w:val="left" w:pos="170"/>
          <w:tab w:val="left" w:pos="840"/>
        </w:tabs>
        <w:kinsoku/>
        <w:wordWrap/>
        <w:overflowPunct/>
        <w:topLinePunct w:val="0"/>
        <w:autoSpaceDE/>
        <w:autoSpaceDN/>
        <w:bidi w:val="0"/>
        <w:adjustRightInd/>
        <w:snapToGrid/>
        <w:spacing w:before="0" w:after="0" w:line="360" w:lineRule="auto"/>
        <w:ind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工作人员必须小心谨慎处理易燃品，必须使用正确的卸货程序以避免包装损坏或工作人员受到伤害。</w:t>
      </w:r>
    </w:p>
    <w:p>
      <w:pPr>
        <w:pStyle w:val="7"/>
        <w:keepNext w:val="0"/>
        <w:keepLines w:val="0"/>
        <w:pageBreakBefore w:val="0"/>
        <w:widowControl w:val="0"/>
        <w:numPr>
          <w:ilvl w:val="0"/>
          <w:numId w:val="8"/>
        </w:numPr>
        <w:tabs>
          <w:tab w:val="left" w:pos="170"/>
          <w:tab w:val="left" w:pos="840"/>
        </w:tabs>
        <w:kinsoku/>
        <w:wordWrap/>
        <w:overflowPunct/>
        <w:topLinePunct w:val="0"/>
        <w:autoSpaceDE/>
        <w:autoSpaceDN/>
        <w:bidi w:val="0"/>
        <w:adjustRightInd/>
        <w:snapToGrid/>
        <w:spacing w:before="0" w:after="0" w:line="360" w:lineRule="auto"/>
        <w:ind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易燃物卸下后，必须及时使用专用工具移往储存区。硬纸箱应待送到储存区才开启，以免在卸货时箱内的易燃物有散落的危险。</w:t>
      </w:r>
    </w:p>
    <w:p>
      <w:pPr>
        <w:pStyle w:val="7"/>
        <w:keepNext w:val="0"/>
        <w:keepLines w:val="0"/>
        <w:pageBreakBefore w:val="0"/>
        <w:widowControl w:val="0"/>
        <w:numPr>
          <w:ilvl w:val="0"/>
          <w:numId w:val="8"/>
        </w:numPr>
        <w:tabs>
          <w:tab w:val="left" w:pos="170"/>
          <w:tab w:val="left" w:pos="840"/>
        </w:tabs>
        <w:kinsoku/>
        <w:wordWrap/>
        <w:overflowPunct/>
        <w:topLinePunct w:val="0"/>
        <w:autoSpaceDE/>
        <w:autoSpaceDN/>
        <w:bidi w:val="0"/>
        <w:adjustRightInd/>
        <w:snapToGrid/>
        <w:spacing w:before="0" w:after="0" w:line="360" w:lineRule="auto"/>
        <w:ind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易燃物库房应安装货架，并附设起吊台，平稳安放。各类别的易燃物应有系统地排列，方便取用。已储存较久的应先使用，不宜被新到的存货阻挡提用。</w:t>
      </w:r>
    </w:p>
    <w:p>
      <w:pPr>
        <w:pStyle w:val="7"/>
        <w:keepNext w:val="0"/>
        <w:keepLines w:val="0"/>
        <w:pageBreakBefore w:val="0"/>
        <w:widowControl w:val="0"/>
        <w:numPr>
          <w:ilvl w:val="0"/>
          <w:numId w:val="8"/>
        </w:numPr>
        <w:tabs>
          <w:tab w:val="left" w:pos="170"/>
          <w:tab w:val="left" w:pos="840"/>
        </w:tabs>
        <w:kinsoku/>
        <w:wordWrap/>
        <w:overflowPunct/>
        <w:topLinePunct w:val="0"/>
        <w:autoSpaceDE/>
        <w:autoSpaceDN/>
        <w:bidi w:val="0"/>
        <w:adjustRightInd/>
        <w:snapToGrid/>
        <w:spacing w:before="0" w:after="0" w:line="360" w:lineRule="auto"/>
        <w:ind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只允许工作人员进入易燃品库，无关人员禁止进入。</w:t>
      </w:r>
    </w:p>
    <w:p>
      <w:pPr>
        <w:pStyle w:val="7"/>
        <w:keepNext w:val="0"/>
        <w:keepLines w:val="0"/>
        <w:pageBreakBefore w:val="0"/>
        <w:widowControl w:val="0"/>
        <w:numPr>
          <w:ilvl w:val="0"/>
          <w:numId w:val="8"/>
        </w:numPr>
        <w:tabs>
          <w:tab w:val="left" w:pos="170"/>
          <w:tab w:val="left" w:pos="840"/>
        </w:tabs>
        <w:kinsoku/>
        <w:wordWrap/>
        <w:overflowPunct/>
        <w:topLinePunct w:val="0"/>
        <w:autoSpaceDE/>
        <w:autoSpaceDN/>
        <w:bidi w:val="0"/>
        <w:adjustRightInd/>
        <w:snapToGrid/>
        <w:spacing w:before="0" w:after="0" w:line="360" w:lineRule="auto"/>
        <w:ind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禁止穿钉有铁掌的鞋子进入易燃品库。</w:t>
      </w:r>
    </w:p>
    <w:p>
      <w:pPr>
        <w:pStyle w:val="7"/>
        <w:keepNext w:val="0"/>
        <w:keepLines w:val="0"/>
        <w:pageBreakBefore w:val="0"/>
        <w:widowControl w:val="0"/>
        <w:numPr>
          <w:ilvl w:val="0"/>
          <w:numId w:val="8"/>
        </w:numPr>
        <w:tabs>
          <w:tab w:val="left" w:pos="170"/>
          <w:tab w:val="left" w:pos="840"/>
        </w:tabs>
        <w:kinsoku/>
        <w:wordWrap/>
        <w:overflowPunct/>
        <w:topLinePunct w:val="0"/>
        <w:autoSpaceDE/>
        <w:autoSpaceDN/>
        <w:bidi w:val="0"/>
        <w:adjustRightInd/>
        <w:snapToGrid/>
        <w:spacing w:before="0" w:after="0" w:line="360" w:lineRule="auto"/>
        <w:ind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将易燃物储存于户外是不良的做法。但若基于空间的原因必须存放于室外时，就应采取预防措施，将不良的后果减至最低。</w:t>
      </w:r>
    </w:p>
    <w:p>
      <w:pPr>
        <w:pStyle w:val="7"/>
        <w:keepNext w:val="0"/>
        <w:keepLines w:val="0"/>
        <w:pageBreakBefore w:val="0"/>
        <w:widowControl w:val="0"/>
        <w:numPr>
          <w:ilvl w:val="0"/>
          <w:numId w:val="8"/>
        </w:numPr>
        <w:tabs>
          <w:tab w:val="left" w:pos="170"/>
          <w:tab w:val="left" w:pos="840"/>
        </w:tabs>
        <w:kinsoku/>
        <w:wordWrap/>
        <w:overflowPunct/>
        <w:topLinePunct w:val="0"/>
        <w:autoSpaceDE/>
        <w:autoSpaceDN/>
        <w:bidi w:val="0"/>
        <w:adjustRightInd/>
        <w:snapToGrid/>
        <w:spacing w:before="0" w:after="0" w:line="360" w:lineRule="auto"/>
        <w:ind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其他易燃物必须遵守其具体存放规则。</w:t>
      </w:r>
    </w:p>
    <w:p>
      <w:pPr>
        <w:pStyle w:val="7"/>
        <w:keepNext w:val="0"/>
        <w:keepLines w:val="0"/>
        <w:pageBreakBefore w:val="0"/>
        <w:widowControl w:val="0"/>
        <w:numPr>
          <w:ilvl w:val="0"/>
          <w:numId w:val="8"/>
        </w:numPr>
        <w:tabs>
          <w:tab w:val="left" w:pos="170"/>
          <w:tab w:val="left" w:pos="840"/>
        </w:tabs>
        <w:kinsoku/>
        <w:wordWrap/>
        <w:overflowPunct/>
        <w:topLinePunct w:val="0"/>
        <w:autoSpaceDE/>
        <w:autoSpaceDN/>
        <w:bidi w:val="0"/>
        <w:adjustRightInd/>
        <w:snapToGrid/>
        <w:spacing w:before="0" w:after="0" w:line="360" w:lineRule="auto"/>
        <w:ind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尽量勿让易燃物受潮和受到阳光直接照射。</w:t>
      </w:r>
    </w:p>
    <w:p>
      <w:pPr>
        <w:pStyle w:val="7"/>
        <w:keepNext w:val="0"/>
        <w:keepLines w:val="0"/>
        <w:pageBreakBefore w:val="0"/>
        <w:widowControl w:val="0"/>
        <w:numPr>
          <w:ilvl w:val="0"/>
          <w:numId w:val="8"/>
        </w:numPr>
        <w:tabs>
          <w:tab w:val="left" w:pos="170"/>
          <w:tab w:val="left" w:pos="840"/>
        </w:tabs>
        <w:kinsoku/>
        <w:wordWrap/>
        <w:overflowPunct/>
        <w:topLinePunct w:val="0"/>
        <w:autoSpaceDE/>
        <w:autoSpaceDN/>
        <w:bidi w:val="0"/>
        <w:adjustRightInd/>
        <w:snapToGrid/>
        <w:spacing w:before="0" w:after="0" w:line="360" w:lineRule="auto"/>
        <w:ind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长期接触润滑油可能会引起皮肤过敏，应使用合适的防护用品。</w:t>
      </w:r>
    </w:p>
    <w:p>
      <w:pPr>
        <w:pStyle w:val="7"/>
        <w:keepNext w:val="0"/>
        <w:keepLines w:val="0"/>
        <w:pageBreakBefore w:val="0"/>
        <w:widowControl w:val="0"/>
        <w:numPr>
          <w:ilvl w:val="0"/>
          <w:numId w:val="8"/>
        </w:numPr>
        <w:tabs>
          <w:tab w:val="left" w:pos="170"/>
          <w:tab w:val="left" w:pos="840"/>
        </w:tabs>
        <w:kinsoku/>
        <w:wordWrap/>
        <w:overflowPunct/>
        <w:topLinePunct w:val="0"/>
        <w:autoSpaceDE/>
        <w:autoSpaceDN/>
        <w:bidi w:val="0"/>
        <w:adjustRightInd/>
        <w:snapToGrid/>
        <w:spacing w:before="0" w:after="0" w:line="360" w:lineRule="auto"/>
        <w:ind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在无法使用防渗透手套时，可在工作前在皮肤上擦拭适当的防油性护手霜。</w:t>
      </w:r>
    </w:p>
    <w:p>
      <w:pPr>
        <w:pStyle w:val="7"/>
        <w:keepNext w:val="0"/>
        <w:keepLines w:val="0"/>
        <w:pageBreakBefore w:val="0"/>
        <w:widowControl w:val="0"/>
        <w:numPr>
          <w:ilvl w:val="0"/>
          <w:numId w:val="8"/>
        </w:numPr>
        <w:tabs>
          <w:tab w:val="left" w:pos="170"/>
          <w:tab w:val="left" w:pos="840"/>
        </w:tabs>
        <w:kinsoku/>
        <w:wordWrap/>
        <w:overflowPunct/>
        <w:topLinePunct w:val="0"/>
        <w:autoSpaceDE/>
        <w:autoSpaceDN/>
        <w:bidi w:val="0"/>
        <w:adjustRightInd/>
        <w:snapToGrid/>
        <w:spacing w:before="0" w:after="0" w:line="360" w:lineRule="auto"/>
        <w:ind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经常（特别在工作后）清洗皮肤。切勿用汽油或煤油清洁皮肤，应用肥皂或中性洗涤剂进行清洗。洗涤后可用面霜保护皮肤。</w:t>
      </w:r>
    </w:p>
    <w:p>
      <w:pPr>
        <w:pStyle w:val="7"/>
        <w:keepNext w:val="0"/>
        <w:keepLines w:val="0"/>
        <w:pageBreakBefore w:val="0"/>
        <w:widowControl w:val="0"/>
        <w:numPr>
          <w:ilvl w:val="0"/>
          <w:numId w:val="8"/>
        </w:numPr>
        <w:tabs>
          <w:tab w:val="left" w:pos="170"/>
          <w:tab w:val="left" w:pos="840"/>
        </w:tabs>
        <w:kinsoku/>
        <w:wordWrap/>
        <w:overflowPunct/>
        <w:topLinePunct w:val="0"/>
        <w:autoSpaceDE/>
        <w:autoSpaceDN/>
        <w:bidi w:val="0"/>
        <w:adjustRightInd/>
        <w:snapToGrid/>
        <w:spacing w:before="0" w:after="0" w:line="360" w:lineRule="auto"/>
        <w:ind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切勿穿着油迹渗透的衣物，工作服应经常换洗，特别小心避免日常衣物（尤其是内衣裤）被油迹沾染。</w:t>
      </w:r>
    </w:p>
    <w:p>
      <w:pPr>
        <w:pStyle w:val="7"/>
        <w:keepNext w:val="0"/>
        <w:keepLines w:val="0"/>
        <w:pageBreakBefore w:val="0"/>
        <w:widowControl w:val="0"/>
        <w:numPr>
          <w:ilvl w:val="0"/>
          <w:numId w:val="8"/>
        </w:numPr>
        <w:tabs>
          <w:tab w:val="left" w:pos="170"/>
          <w:tab w:val="left" w:pos="840"/>
        </w:tabs>
        <w:kinsoku/>
        <w:wordWrap/>
        <w:overflowPunct/>
        <w:topLinePunct w:val="0"/>
        <w:autoSpaceDE/>
        <w:autoSpaceDN/>
        <w:bidi w:val="0"/>
        <w:adjustRightInd/>
        <w:snapToGrid/>
        <w:spacing w:before="0" w:after="0" w:line="360" w:lineRule="auto"/>
        <w:ind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配备适当的医疗设备和急救用品。设专人负责，确保上述措施的执行。</w:t>
      </w:r>
    </w:p>
    <w:p>
      <w:pPr>
        <w:pStyle w:val="6"/>
        <w:keepNext w:val="0"/>
        <w:keepLines w:val="0"/>
        <w:numPr>
          <w:ilvl w:val="3"/>
          <w:numId w:val="3"/>
        </w:numPr>
        <w:tabs>
          <w:tab w:val="left" w:pos="567"/>
          <w:tab w:val="clear" w:pos="600"/>
        </w:tabs>
        <w:kinsoku w:val="0"/>
        <w:spacing w:before="163" w:beforeLines="50" w:after="163" w:afterLines="50" w:line="360" w:lineRule="auto"/>
        <w:ind w:left="0" w:firstLine="0"/>
        <w:jc w:val="left"/>
        <w:rPr>
          <w:rFonts w:hint="default" w:ascii="Times New Roman" w:hAnsi="Times New Roman" w:eastAsia="黑体" w:cs="Times New Roman"/>
          <w:b w:val="0"/>
          <w:color w:val="auto"/>
          <w:spacing w:val="0"/>
          <w:sz w:val="24"/>
          <w:szCs w:val="24"/>
        </w:rPr>
      </w:pPr>
      <w:r>
        <w:rPr>
          <w:rFonts w:hint="default" w:ascii="Times New Roman" w:hAnsi="Times New Roman" w:eastAsia="黑体" w:cs="Times New Roman"/>
          <w:b w:val="0"/>
          <w:color w:val="auto"/>
          <w:spacing w:val="0"/>
          <w:sz w:val="24"/>
          <w:szCs w:val="24"/>
        </w:rPr>
        <w:t xml:space="preserve"> 投标方现场服务</w:t>
      </w:r>
    </w:p>
    <w:p>
      <w:pPr>
        <w:pStyle w:val="7"/>
        <w:keepNext w:val="0"/>
        <w:keepLines w:val="0"/>
        <w:pageBreakBefore w:val="0"/>
        <w:widowControl w:val="0"/>
        <w:numPr>
          <w:ilvl w:val="0"/>
          <w:numId w:val="0"/>
        </w:numPr>
        <w:tabs>
          <w:tab w:val="left" w:pos="170"/>
          <w:tab w:val="left" w:pos="840"/>
        </w:tabs>
        <w:kinsoku/>
        <w:wordWrap/>
        <w:overflowPunct/>
        <w:topLinePunct w:val="0"/>
        <w:autoSpaceDE/>
        <w:autoSpaceDN/>
        <w:bidi w:val="0"/>
        <w:adjustRightInd/>
        <w:snapToGrid/>
        <w:spacing w:before="0" w:after="0" w:line="360" w:lineRule="auto"/>
        <w:ind w:leftChars="0" w:firstLine="480" w:firstLineChars="200"/>
        <w:jc w:val="left"/>
        <w:textAlignment w:val="auto"/>
        <w:rPr>
          <w:rFonts w:hint="default" w:cs="Times New Roman"/>
          <w:b w:val="0"/>
          <w:color w:val="auto"/>
          <w:sz w:val="24"/>
          <w:szCs w:val="24"/>
          <w:lang w:val="en-US" w:eastAsia="zh-CN"/>
        </w:rPr>
      </w:pPr>
      <w:r>
        <w:rPr>
          <w:rFonts w:hint="default" w:cs="Times New Roman"/>
          <w:b w:val="0"/>
          <w:color w:val="auto"/>
          <w:sz w:val="24"/>
          <w:szCs w:val="24"/>
          <w:lang w:val="en-US" w:eastAsia="zh-CN"/>
        </w:rPr>
        <w:t>投标方现场服务人员的目的是在要求工期内按时完成</w:t>
      </w:r>
      <w:r>
        <w:rPr>
          <w:rFonts w:hint="eastAsia" w:cs="Times New Roman"/>
          <w:b w:val="0"/>
          <w:color w:val="auto"/>
          <w:sz w:val="24"/>
          <w:szCs w:val="24"/>
          <w:lang w:val="en-US" w:eastAsia="zh-CN"/>
        </w:rPr>
        <w:t>治理施工</w:t>
      </w:r>
      <w:r>
        <w:rPr>
          <w:rFonts w:hint="default" w:cs="Times New Roman"/>
          <w:b w:val="0"/>
          <w:color w:val="auto"/>
          <w:sz w:val="24"/>
          <w:szCs w:val="24"/>
          <w:lang w:val="en-US" w:eastAsia="zh-CN"/>
        </w:rPr>
        <w:t>相关任务。投标方要派合格的现场服务人员。如果投标阶段人数不能满足工程需要，投标方要追加人数，且不发生费用。</w:t>
      </w:r>
    </w:p>
    <w:p>
      <w:pPr>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现场服务计划表</w:t>
      </w:r>
      <w:r>
        <w:rPr>
          <w:rFonts w:hint="default" w:ascii="Times New Roman" w:hAnsi="Times New Roman" w:cs="Times New Roman"/>
          <w:sz w:val="24"/>
          <w:szCs w:val="24"/>
          <w:lang w:eastAsia="zh-CN"/>
        </w:rPr>
        <w:t>（</w:t>
      </w:r>
      <w:r>
        <w:rPr>
          <w:rFonts w:hint="eastAsia" w:cs="Times New Roman"/>
          <w:sz w:val="24"/>
          <w:szCs w:val="24"/>
          <w:lang w:val="en-US" w:eastAsia="zh-CN"/>
        </w:rPr>
        <w:t>投标方填写</w:t>
      </w:r>
      <w:r>
        <w:rPr>
          <w:rFonts w:hint="default" w:ascii="Times New Roman" w:hAnsi="Times New Roman" w:cs="Times New Roman"/>
          <w:sz w:val="24"/>
          <w:szCs w:val="24"/>
          <w:lang w:eastAsia="zh-CN"/>
        </w:rPr>
        <w:t>）</w:t>
      </w:r>
    </w:p>
    <w:tbl>
      <w:tblPr>
        <w:tblStyle w:val="13"/>
        <w:tblW w:w="0" w:type="auto"/>
        <w:tblInd w:w="80" w:type="dxa"/>
        <w:tblLayout w:type="fixed"/>
        <w:tblCellMar>
          <w:top w:w="0" w:type="dxa"/>
          <w:left w:w="28" w:type="dxa"/>
          <w:bottom w:w="0" w:type="dxa"/>
          <w:right w:w="28" w:type="dxa"/>
        </w:tblCellMar>
      </w:tblPr>
      <w:tblGrid>
        <w:gridCol w:w="1028"/>
        <w:gridCol w:w="3598"/>
        <w:gridCol w:w="2126"/>
        <w:gridCol w:w="1560"/>
      </w:tblGrid>
      <w:tr>
        <w:tblPrEx>
          <w:tblCellMar>
            <w:top w:w="0" w:type="dxa"/>
            <w:left w:w="28" w:type="dxa"/>
            <w:bottom w:w="0" w:type="dxa"/>
            <w:right w:w="28" w:type="dxa"/>
          </w:tblCellMar>
        </w:tblPrEx>
        <w:trPr>
          <w:trHeight w:val="447" w:hRule="atLeast"/>
        </w:trPr>
        <w:tc>
          <w:tcPr>
            <w:tcW w:w="1028" w:type="dxa"/>
            <w:tcBorders>
              <w:top w:val="single" w:color="auto" w:sz="12" w:space="0"/>
              <w:left w:val="single" w:color="auto" w:sz="12" w:space="0"/>
              <w:bottom w:val="single" w:color="auto" w:sz="4" w:space="0"/>
              <w:right w:val="single" w:color="auto" w:sz="6" w:space="0"/>
            </w:tcBorders>
            <w:noWrap w:val="0"/>
            <w:vAlign w:val="center"/>
          </w:tcPr>
          <w:p>
            <w:pPr>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序号</w:t>
            </w:r>
          </w:p>
        </w:tc>
        <w:tc>
          <w:tcPr>
            <w:tcW w:w="3598" w:type="dxa"/>
            <w:tcBorders>
              <w:top w:val="single" w:color="auto" w:sz="12" w:space="0"/>
              <w:left w:val="nil"/>
              <w:bottom w:val="single" w:color="auto" w:sz="4" w:space="0"/>
              <w:right w:val="single" w:color="auto" w:sz="6" w:space="0"/>
            </w:tcBorders>
            <w:noWrap w:val="0"/>
            <w:vAlign w:val="center"/>
          </w:tcPr>
          <w:p>
            <w:pPr>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服务内容</w:t>
            </w:r>
          </w:p>
        </w:tc>
        <w:tc>
          <w:tcPr>
            <w:tcW w:w="2126" w:type="dxa"/>
            <w:tcBorders>
              <w:top w:val="single" w:color="auto" w:sz="12" w:space="0"/>
              <w:left w:val="nil"/>
              <w:bottom w:val="single" w:color="auto" w:sz="4" w:space="0"/>
              <w:right w:val="single" w:color="auto" w:sz="6" w:space="0"/>
            </w:tcBorders>
            <w:noWrap w:val="0"/>
            <w:vAlign w:val="center"/>
          </w:tcPr>
          <w:p>
            <w:pPr>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计划</w:t>
            </w:r>
            <w:r>
              <w:rPr>
                <w:rFonts w:hint="default" w:ascii="Times New Roman" w:hAnsi="Times New Roman" w:cs="Times New Roman"/>
                <w:sz w:val="24"/>
                <w:szCs w:val="24"/>
                <w:lang w:eastAsia="zh-CN"/>
              </w:rPr>
              <w:t>人数</w:t>
            </w:r>
          </w:p>
        </w:tc>
        <w:tc>
          <w:tcPr>
            <w:tcW w:w="1560" w:type="dxa"/>
            <w:tcBorders>
              <w:top w:val="single" w:color="auto" w:sz="12" w:space="0"/>
              <w:left w:val="nil"/>
              <w:bottom w:val="single" w:color="auto" w:sz="4" w:space="0"/>
              <w:right w:val="single" w:color="auto" w:sz="12" w:space="0"/>
            </w:tcBorders>
            <w:noWrap w:val="0"/>
            <w:vAlign w:val="center"/>
          </w:tcPr>
          <w:p>
            <w:pPr>
              <w:snapToGrid w:val="0"/>
              <w:jc w:val="center"/>
              <w:rPr>
                <w:rFonts w:hint="default" w:ascii="Times New Roman" w:hAnsi="Times New Roman" w:cs="Times New Roman"/>
                <w:sz w:val="24"/>
                <w:szCs w:val="24"/>
              </w:rPr>
            </w:pPr>
            <w:r>
              <w:rPr>
                <w:rFonts w:hint="default" w:ascii="Times New Roman" w:hAnsi="Times New Roman" w:cs="Times New Roman"/>
                <w:sz w:val="24"/>
                <w:szCs w:val="24"/>
              </w:rPr>
              <w:t>备   注</w:t>
            </w:r>
          </w:p>
        </w:tc>
      </w:tr>
      <w:tr>
        <w:tblPrEx>
          <w:tblCellMar>
            <w:top w:w="0" w:type="dxa"/>
            <w:left w:w="28" w:type="dxa"/>
            <w:bottom w:w="0" w:type="dxa"/>
            <w:right w:w="28" w:type="dxa"/>
          </w:tblCellMar>
        </w:tblPrEx>
        <w:tc>
          <w:tcPr>
            <w:tcW w:w="1028" w:type="dxa"/>
            <w:tcBorders>
              <w:top w:val="single" w:color="auto" w:sz="6" w:space="0"/>
              <w:left w:val="single" w:color="auto" w:sz="12" w:space="0"/>
              <w:bottom w:val="single" w:color="auto" w:sz="6" w:space="0"/>
              <w:right w:val="single" w:color="auto" w:sz="6" w:space="0"/>
            </w:tcBorders>
            <w:noWrap w:val="0"/>
            <w:vAlign w:val="center"/>
          </w:tcPr>
          <w:p>
            <w:pPr>
              <w:snapToGrid w:val="0"/>
              <w:jc w:val="center"/>
              <w:rPr>
                <w:rFonts w:hint="eastAsia" w:ascii="Times New Roman" w:hAnsi="Times New Roman" w:eastAsia="宋体" w:cs="Times New Roman"/>
                <w:sz w:val="24"/>
                <w:szCs w:val="24"/>
                <w:lang w:val="en-US" w:eastAsia="zh-CN"/>
              </w:rPr>
            </w:pPr>
            <w:r>
              <w:rPr>
                <w:rFonts w:hint="eastAsia" w:cs="Times New Roman"/>
                <w:sz w:val="24"/>
                <w:szCs w:val="24"/>
                <w:lang w:val="en-US" w:eastAsia="zh-CN"/>
              </w:rPr>
              <w:t>1</w:t>
            </w:r>
          </w:p>
        </w:tc>
        <w:tc>
          <w:tcPr>
            <w:tcW w:w="3598" w:type="dxa"/>
            <w:tcBorders>
              <w:top w:val="single" w:color="auto" w:sz="6" w:space="0"/>
              <w:left w:val="nil"/>
              <w:bottom w:val="single" w:color="auto" w:sz="6" w:space="0"/>
              <w:right w:val="single" w:color="auto" w:sz="6" w:space="0"/>
            </w:tcBorders>
            <w:noWrap w:val="0"/>
            <w:vAlign w:val="center"/>
          </w:tcPr>
          <w:p>
            <w:pPr>
              <w:snapToGrid w:val="0"/>
              <w:jc w:val="center"/>
              <w:rPr>
                <w:rFonts w:hint="default" w:ascii="Times New Roman" w:hAnsi="Times New Roman" w:cs="Times New Roman"/>
                <w:sz w:val="24"/>
                <w:szCs w:val="24"/>
              </w:rPr>
            </w:pPr>
          </w:p>
        </w:tc>
        <w:tc>
          <w:tcPr>
            <w:tcW w:w="2126" w:type="dxa"/>
            <w:tcBorders>
              <w:top w:val="single" w:color="auto" w:sz="6" w:space="0"/>
              <w:left w:val="nil"/>
              <w:bottom w:val="single" w:color="auto" w:sz="6" w:space="0"/>
              <w:right w:val="single" w:color="auto" w:sz="6" w:space="0"/>
            </w:tcBorders>
            <w:noWrap w:val="0"/>
            <w:vAlign w:val="center"/>
          </w:tcPr>
          <w:p>
            <w:pPr>
              <w:snapToGrid w:val="0"/>
              <w:jc w:val="center"/>
              <w:rPr>
                <w:rFonts w:hint="default" w:ascii="Times New Roman" w:hAnsi="Times New Roman" w:cs="Times New Roman"/>
                <w:sz w:val="24"/>
                <w:szCs w:val="24"/>
              </w:rPr>
            </w:pPr>
          </w:p>
        </w:tc>
        <w:tc>
          <w:tcPr>
            <w:tcW w:w="1560" w:type="dxa"/>
            <w:tcBorders>
              <w:top w:val="single" w:color="auto" w:sz="6" w:space="0"/>
              <w:left w:val="nil"/>
              <w:bottom w:val="single" w:color="auto" w:sz="6" w:space="0"/>
              <w:right w:val="single" w:color="auto" w:sz="12" w:space="0"/>
            </w:tcBorders>
            <w:noWrap w:val="0"/>
            <w:vAlign w:val="center"/>
          </w:tcPr>
          <w:p>
            <w:pPr>
              <w:snapToGrid w:val="0"/>
              <w:jc w:val="center"/>
              <w:rPr>
                <w:rFonts w:hint="default" w:ascii="Times New Roman" w:hAnsi="Times New Roman" w:cs="Times New Roman"/>
                <w:sz w:val="24"/>
                <w:szCs w:val="24"/>
              </w:rPr>
            </w:pPr>
          </w:p>
        </w:tc>
      </w:tr>
      <w:tr>
        <w:tblPrEx>
          <w:tblCellMar>
            <w:top w:w="0" w:type="dxa"/>
            <w:left w:w="28" w:type="dxa"/>
            <w:bottom w:w="0" w:type="dxa"/>
            <w:right w:w="28" w:type="dxa"/>
          </w:tblCellMar>
        </w:tblPrEx>
        <w:tc>
          <w:tcPr>
            <w:tcW w:w="1028" w:type="dxa"/>
            <w:tcBorders>
              <w:top w:val="single" w:color="auto" w:sz="6" w:space="0"/>
              <w:left w:val="single" w:color="auto" w:sz="12" w:space="0"/>
              <w:bottom w:val="single" w:color="auto" w:sz="6" w:space="0"/>
              <w:right w:val="single" w:color="auto" w:sz="6" w:space="0"/>
            </w:tcBorders>
            <w:noWrap w:val="0"/>
            <w:vAlign w:val="center"/>
          </w:tcPr>
          <w:p>
            <w:pPr>
              <w:snapToGrid w:val="0"/>
              <w:jc w:val="center"/>
              <w:rPr>
                <w:rFonts w:hint="eastAsia" w:ascii="Times New Roman" w:hAnsi="Times New Roman" w:eastAsia="宋体" w:cs="Times New Roman"/>
                <w:sz w:val="24"/>
                <w:szCs w:val="24"/>
                <w:lang w:val="en-US" w:eastAsia="zh-CN"/>
              </w:rPr>
            </w:pPr>
            <w:r>
              <w:rPr>
                <w:rFonts w:hint="eastAsia" w:cs="Times New Roman"/>
                <w:sz w:val="24"/>
                <w:szCs w:val="24"/>
                <w:lang w:val="en-US" w:eastAsia="zh-CN"/>
              </w:rPr>
              <w:t>2</w:t>
            </w:r>
          </w:p>
        </w:tc>
        <w:tc>
          <w:tcPr>
            <w:tcW w:w="3598" w:type="dxa"/>
            <w:tcBorders>
              <w:top w:val="single" w:color="auto" w:sz="6" w:space="0"/>
              <w:left w:val="nil"/>
              <w:bottom w:val="single" w:color="auto" w:sz="6" w:space="0"/>
              <w:right w:val="single" w:color="auto" w:sz="6" w:space="0"/>
            </w:tcBorders>
            <w:noWrap w:val="0"/>
            <w:vAlign w:val="center"/>
          </w:tcPr>
          <w:p>
            <w:pPr>
              <w:snapToGrid w:val="0"/>
              <w:jc w:val="center"/>
              <w:rPr>
                <w:rFonts w:hint="default" w:ascii="Times New Roman" w:hAnsi="Times New Roman" w:cs="Times New Roman"/>
                <w:sz w:val="24"/>
                <w:szCs w:val="24"/>
              </w:rPr>
            </w:pPr>
          </w:p>
        </w:tc>
        <w:tc>
          <w:tcPr>
            <w:tcW w:w="2126" w:type="dxa"/>
            <w:tcBorders>
              <w:top w:val="single" w:color="auto" w:sz="6" w:space="0"/>
              <w:left w:val="nil"/>
              <w:bottom w:val="single" w:color="auto" w:sz="6" w:space="0"/>
              <w:right w:val="single" w:color="auto" w:sz="6" w:space="0"/>
            </w:tcBorders>
            <w:noWrap w:val="0"/>
            <w:vAlign w:val="center"/>
          </w:tcPr>
          <w:p>
            <w:pPr>
              <w:snapToGrid w:val="0"/>
              <w:jc w:val="center"/>
              <w:rPr>
                <w:rFonts w:hint="default" w:ascii="Times New Roman" w:hAnsi="Times New Roman" w:cs="Times New Roman"/>
                <w:sz w:val="24"/>
                <w:szCs w:val="24"/>
              </w:rPr>
            </w:pPr>
          </w:p>
        </w:tc>
        <w:tc>
          <w:tcPr>
            <w:tcW w:w="1560" w:type="dxa"/>
            <w:tcBorders>
              <w:top w:val="single" w:color="auto" w:sz="6" w:space="0"/>
              <w:left w:val="nil"/>
              <w:bottom w:val="single" w:color="auto" w:sz="6" w:space="0"/>
              <w:right w:val="single" w:color="auto" w:sz="12" w:space="0"/>
            </w:tcBorders>
            <w:noWrap w:val="0"/>
            <w:vAlign w:val="center"/>
          </w:tcPr>
          <w:p>
            <w:pPr>
              <w:snapToGrid w:val="0"/>
              <w:jc w:val="center"/>
              <w:rPr>
                <w:rFonts w:hint="default" w:ascii="Times New Roman" w:hAnsi="Times New Roman" w:cs="Times New Roman"/>
                <w:sz w:val="24"/>
                <w:szCs w:val="24"/>
              </w:rPr>
            </w:pPr>
          </w:p>
        </w:tc>
      </w:tr>
      <w:tr>
        <w:tblPrEx>
          <w:tblCellMar>
            <w:top w:w="0" w:type="dxa"/>
            <w:left w:w="28" w:type="dxa"/>
            <w:bottom w:w="0" w:type="dxa"/>
            <w:right w:w="28" w:type="dxa"/>
          </w:tblCellMar>
        </w:tblPrEx>
        <w:tc>
          <w:tcPr>
            <w:tcW w:w="1028" w:type="dxa"/>
            <w:tcBorders>
              <w:top w:val="single" w:color="auto" w:sz="6" w:space="0"/>
              <w:left w:val="single" w:color="auto" w:sz="12" w:space="0"/>
              <w:bottom w:val="single" w:color="auto" w:sz="6" w:space="0"/>
              <w:right w:val="single" w:color="auto" w:sz="6" w:space="0"/>
            </w:tcBorders>
            <w:noWrap w:val="0"/>
            <w:vAlign w:val="center"/>
          </w:tcPr>
          <w:p>
            <w:pPr>
              <w:snapToGrid w:val="0"/>
              <w:jc w:val="center"/>
              <w:rPr>
                <w:rFonts w:hint="eastAsia" w:ascii="Times New Roman" w:hAnsi="Times New Roman" w:eastAsia="宋体" w:cs="Times New Roman"/>
                <w:sz w:val="24"/>
                <w:szCs w:val="24"/>
                <w:lang w:val="en-US" w:eastAsia="zh-CN"/>
              </w:rPr>
            </w:pPr>
            <w:r>
              <w:rPr>
                <w:rFonts w:hint="eastAsia" w:cs="Times New Roman"/>
                <w:sz w:val="24"/>
                <w:szCs w:val="24"/>
                <w:lang w:val="en-US" w:eastAsia="zh-CN"/>
              </w:rPr>
              <w:t>3</w:t>
            </w:r>
          </w:p>
        </w:tc>
        <w:tc>
          <w:tcPr>
            <w:tcW w:w="3598" w:type="dxa"/>
            <w:tcBorders>
              <w:top w:val="single" w:color="auto" w:sz="6" w:space="0"/>
              <w:left w:val="nil"/>
              <w:bottom w:val="single" w:color="auto" w:sz="6" w:space="0"/>
              <w:right w:val="single" w:color="auto" w:sz="6" w:space="0"/>
            </w:tcBorders>
            <w:noWrap w:val="0"/>
            <w:vAlign w:val="center"/>
          </w:tcPr>
          <w:p>
            <w:pPr>
              <w:snapToGrid w:val="0"/>
              <w:jc w:val="center"/>
              <w:rPr>
                <w:rFonts w:hint="default" w:ascii="Times New Roman" w:hAnsi="Times New Roman" w:cs="Times New Roman"/>
                <w:sz w:val="24"/>
                <w:szCs w:val="24"/>
              </w:rPr>
            </w:pPr>
          </w:p>
        </w:tc>
        <w:tc>
          <w:tcPr>
            <w:tcW w:w="2126" w:type="dxa"/>
            <w:tcBorders>
              <w:top w:val="single" w:color="auto" w:sz="6" w:space="0"/>
              <w:left w:val="nil"/>
              <w:bottom w:val="single" w:color="auto" w:sz="6" w:space="0"/>
              <w:right w:val="single" w:color="auto" w:sz="6" w:space="0"/>
            </w:tcBorders>
            <w:noWrap w:val="0"/>
            <w:vAlign w:val="center"/>
          </w:tcPr>
          <w:p>
            <w:pPr>
              <w:snapToGrid w:val="0"/>
              <w:jc w:val="center"/>
              <w:rPr>
                <w:rFonts w:hint="default" w:ascii="Times New Roman" w:hAnsi="Times New Roman" w:cs="Times New Roman"/>
                <w:sz w:val="24"/>
                <w:szCs w:val="24"/>
              </w:rPr>
            </w:pPr>
          </w:p>
        </w:tc>
        <w:tc>
          <w:tcPr>
            <w:tcW w:w="1560" w:type="dxa"/>
            <w:tcBorders>
              <w:top w:val="single" w:color="auto" w:sz="6" w:space="0"/>
              <w:left w:val="nil"/>
              <w:bottom w:val="single" w:color="auto" w:sz="6" w:space="0"/>
              <w:right w:val="single" w:color="auto" w:sz="12" w:space="0"/>
            </w:tcBorders>
            <w:noWrap w:val="0"/>
            <w:vAlign w:val="center"/>
          </w:tcPr>
          <w:p>
            <w:pPr>
              <w:snapToGrid w:val="0"/>
              <w:jc w:val="center"/>
              <w:rPr>
                <w:rFonts w:hint="default" w:ascii="Times New Roman" w:hAnsi="Times New Roman" w:cs="Times New Roman"/>
                <w:sz w:val="24"/>
                <w:szCs w:val="24"/>
              </w:rPr>
            </w:pPr>
          </w:p>
        </w:tc>
      </w:tr>
      <w:tr>
        <w:tblPrEx>
          <w:tblCellMar>
            <w:top w:w="0" w:type="dxa"/>
            <w:left w:w="28" w:type="dxa"/>
            <w:bottom w:w="0" w:type="dxa"/>
            <w:right w:w="28" w:type="dxa"/>
          </w:tblCellMar>
        </w:tblPrEx>
        <w:tc>
          <w:tcPr>
            <w:tcW w:w="1028" w:type="dxa"/>
            <w:tcBorders>
              <w:top w:val="single" w:color="auto" w:sz="6" w:space="0"/>
              <w:left w:val="single" w:color="auto" w:sz="12" w:space="0"/>
              <w:bottom w:val="single" w:color="auto" w:sz="12" w:space="0"/>
              <w:right w:val="single" w:color="auto" w:sz="6" w:space="0"/>
            </w:tcBorders>
            <w:noWrap w:val="0"/>
            <w:vAlign w:val="center"/>
          </w:tcPr>
          <w:p>
            <w:pPr>
              <w:snapToGrid w:val="0"/>
              <w:jc w:val="center"/>
              <w:rPr>
                <w:rFonts w:hint="default" w:cs="Times New Roman"/>
                <w:sz w:val="24"/>
                <w:szCs w:val="24"/>
                <w:lang w:val="en-US" w:eastAsia="zh-CN"/>
              </w:rPr>
            </w:pPr>
            <w:r>
              <w:rPr>
                <w:rFonts w:hint="eastAsia" w:cs="Times New Roman"/>
                <w:sz w:val="24"/>
                <w:szCs w:val="24"/>
                <w:lang w:val="en-US" w:eastAsia="zh-CN"/>
              </w:rPr>
              <w:t>...</w:t>
            </w:r>
          </w:p>
        </w:tc>
        <w:tc>
          <w:tcPr>
            <w:tcW w:w="3598" w:type="dxa"/>
            <w:tcBorders>
              <w:top w:val="single" w:color="auto" w:sz="6" w:space="0"/>
              <w:left w:val="nil"/>
              <w:bottom w:val="single" w:color="auto" w:sz="12" w:space="0"/>
              <w:right w:val="single" w:color="auto" w:sz="6" w:space="0"/>
            </w:tcBorders>
            <w:noWrap w:val="0"/>
            <w:vAlign w:val="center"/>
          </w:tcPr>
          <w:p>
            <w:pPr>
              <w:snapToGrid w:val="0"/>
              <w:jc w:val="center"/>
              <w:rPr>
                <w:rFonts w:hint="default" w:ascii="Times New Roman" w:hAnsi="Times New Roman" w:cs="Times New Roman"/>
                <w:sz w:val="24"/>
                <w:szCs w:val="24"/>
              </w:rPr>
            </w:pPr>
          </w:p>
        </w:tc>
        <w:tc>
          <w:tcPr>
            <w:tcW w:w="2126" w:type="dxa"/>
            <w:tcBorders>
              <w:top w:val="single" w:color="auto" w:sz="6" w:space="0"/>
              <w:left w:val="nil"/>
              <w:bottom w:val="single" w:color="auto" w:sz="12" w:space="0"/>
              <w:right w:val="single" w:color="auto" w:sz="6" w:space="0"/>
            </w:tcBorders>
            <w:noWrap w:val="0"/>
            <w:vAlign w:val="center"/>
          </w:tcPr>
          <w:p>
            <w:pPr>
              <w:snapToGrid w:val="0"/>
              <w:jc w:val="center"/>
              <w:rPr>
                <w:rFonts w:hint="default" w:ascii="Times New Roman" w:hAnsi="Times New Roman" w:cs="Times New Roman"/>
                <w:sz w:val="24"/>
                <w:szCs w:val="24"/>
              </w:rPr>
            </w:pPr>
          </w:p>
        </w:tc>
        <w:tc>
          <w:tcPr>
            <w:tcW w:w="1560" w:type="dxa"/>
            <w:tcBorders>
              <w:top w:val="single" w:color="auto" w:sz="6" w:space="0"/>
              <w:left w:val="nil"/>
              <w:bottom w:val="single" w:color="auto" w:sz="12" w:space="0"/>
              <w:right w:val="single" w:color="auto" w:sz="12" w:space="0"/>
            </w:tcBorders>
            <w:noWrap w:val="0"/>
            <w:vAlign w:val="center"/>
          </w:tcPr>
          <w:p>
            <w:pPr>
              <w:snapToGrid w:val="0"/>
              <w:jc w:val="center"/>
              <w:rPr>
                <w:rFonts w:hint="default" w:ascii="Times New Roman" w:hAnsi="Times New Roman" w:cs="Times New Roman"/>
                <w:sz w:val="24"/>
                <w:szCs w:val="24"/>
              </w:rPr>
            </w:pPr>
          </w:p>
        </w:tc>
      </w:tr>
    </w:tbl>
    <w:p>
      <w:pPr>
        <w:keepNext/>
        <w:widowControl w:val="0"/>
        <w:numPr>
          <w:ilvl w:val="2"/>
          <w:numId w:val="3"/>
        </w:numPr>
        <w:tabs>
          <w:tab w:val="left" w:pos="420"/>
          <w:tab w:val="clear" w:pos="1021"/>
        </w:tabs>
        <w:adjustRightInd w:val="0"/>
        <w:spacing w:line="360" w:lineRule="auto"/>
        <w:ind w:left="0" w:firstLine="0"/>
        <w:jc w:val="left"/>
        <w:textAlignment w:val="baseline"/>
        <w:outlineLvl w:val="2"/>
        <w:rPr>
          <w:rFonts w:hint="default" w:ascii="Times New Roman" w:hAnsi="Times New Roman" w:eastAsia="宋体" w:cs="Times New Roman"/>
          <w:b w:val="0"/>
          <w:color w:val="000000"/>
          <w:spacing w:val="0"/>
          <w:sz w:val="24"/>
          <w:szCs w:val="24"/>
          <w:lang w:val="en-US" w:eastAsia="zh-CN" w:bidi="ar-SA"/>
        </w:rPr>
      </w:pPr>
      <w:bookmarkStart w:id="31" w:name="_Toc5829_WPSOffice_Level1"/>
      <w:r>
        <w:rPr>
          <w:rFonts w:hint="eastAsia" w:eastAsia="黑体" w:cs="Times New Roman"/>
          <w:color w:val="000000"/>
          <w:spacing w:val="0"/>
          <w:kern w:val="2"/>
          <w:sz w:val="24"/>
          <w:szCs w:val="24"/>
          <w:lang w:val="en-US" w:eastAsia="zh-CN" w:bidi="ar-SA"/>
        </w:rPr>
        <w:t>脱硫系统栏杆、平台、及斜梯（直梯）等治理施工工器具清单</w:t>
      </w:r>
      <w:r>
        <w:rPr>
          <w:rFonts w:hint="default" w:eastAsia="黑体" w:cs="Times New Roman"/>
          <w:color w:val="000000"/>
          <w:spacing w:val="0"/>
          <w:kern w:val="2"/>
          <w:sz w:val="24"/>
          <w:szCs w:val="24"/>
          <w:lang w:val="en-US" w:eastAsia="zh-CN" w:bidi="ar-SA"/>
        </w:rPr>
        <w:t>（投标人填写）</w:t>
      </w:r>
      <w:bookmarkEnd w:id="31"/>
    </w:p>
    <w:tbl>
      <w:tblPr>
        <w:tblStyle w:val="13"/>
        <w:tblW w:w="0" w:type="auto"/>
        <w:tblInd w:w="108"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719"/>
        <w:gridCol w:w="2286"/>
        <w:gridCol w:w="1815"/>
        <w:gridCol w:w="850"/>
        <w:gridCol w:w="851"/>
        <w:gridCol w:w="1843"/>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3" w:hRule="atLeast"/>
        </w:trPr>
        <w:tc>
          <w:tcPr>
            <w:tcW w:w="719" w:type="dxa"/>
            <w:tcBorders>
              <w:tl2br w:val="nil"/>
              <w:tr2bl w:val="nil"/>
            </w:tcBorders>
            <w:noWrap w:val="0"/>
            <w:vAlign w:val="center"/>
          </w:tcPr>
          <w:p>
            <w:pPr>
              <w:widowControl/>
              <w:spacing w:line="360" w:lineRule="auto"/>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序号</w:t>
            </w:r>
          </w:p>
        </w:tc>
        <w:tc>
          <w:tcPr>
            <w:tcW w:w="2286" w:type="dxa"/>
            <w:tcBorders>
              <w:tl2br w:val="nil"/>
              <w:tr2bl w:val="nil"/>
            </w:tcBorders>
            <w:noWrap w:val="0"/>
            <w:vAlign w:val="center"/>
          </w:tcPr>
          <w:p>
            <w:pPr>
              <w:widowControl/>
              <w:spacing w:line="360" w:lineRule="auto"/>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名  称</w:t>
            </w:r>
          </w:p>
        </w:tc>
        <w:tc>
          <w:tcPr>
            <w:tcW w:w="1815" w:type="dxa"/>
            <w:tcBorders>
              <w:tl2br w:val="nil"/>
              <w:tr2bl w:val="nil"/>
            </w:tcBorders>
            <w:noWrap w:val="0"/>
            <w:vAlign w:val="center"/>
          </w:tcPr>
          <w:p>
            <w:pPr>
              <w:widowControl/>
              <w:spacing w:line="360" w:lineRule="auto"/>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规格型号</w:t>
            </w:r>
          </w:p>
        </w:tc>
        <w:tc>
          <w:tcPr>
            <w:tcW w:w="850" w:type="dxa"/>
            <w:tcBorders>
              <w:tl2br w:val="nil"/>
              <w:tr2bl w:val="nil"/>
            </w:tcBorders>
            <w:noWrap w:val="0"/>
            <w:vAlign w:val="center"/>
          </w:tcPr>
          <w:p>
            <w:pPr>
              <w:widowControl/>
              <w:spacing w:line="360" w:lineRule="auto"/>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单位</w:t>
            </w:r>
          </w:p>
        </w:tc>
        <w:tc>
          <w:tcPr>
            <w:tcW w:w="851" w:type="dxa"/>
            <w:tcBorders>
              <w:tl2br w:val="nil"/>
              <w:tr2bl w:val="nil"/>
            </w:tcBorders>
            <w:noWrap w:val="0"/>
            <w:vAlign w:val="center"/>
          </w:tcPr>
          <w:p>
            <w:pPr>
              <w:widowControl/>
              <w:spacing w:line="360" w:lineRule="auto"/>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数量</w:t>
            </w:r>
          </w:p>
        </w:tc>
        <w:tc>
          <w:tcPr>
            <w:tcW w:w="1843" w:type="dxa"/>
            <w:tcBorders>
              <w:tl2br w:val="nil"/>
              <w:tr2bl w:val="nil"/>
            </w:tcBorders>
            <w:noWrap w:val="0"/>
            <w:vAlign w:val="center"/>
          </w:tcPr>
          <w:p>
            <w:pPr>
              <w:widowControl/>
              <w:spacing w:line="360" w:lineRule="auto"/>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rPr>
              <w:t>备     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03" w:hRule="atLeast"/>
        </w:trPr>
        <w:tc>
          <w:tcPr>
            <w:tcW w:w="719" w:type="dxa"/>
            <w:tcBorders>
              <w:tl2br w:val="nil"/>
              <w:tr2bl w:val="nil"/>
            </w:tcBorders>
            <w:noWrap w:val="0"/>
            <w:vAlign w:val="center"/>
          </w:tcPr>
          <w:p>
            <w:pPr>
              <w:widowControl/>
              <w:spacing w:line="360" w:lineRule="auto"/>
              <w:jc w:val="center"/>
              <w:rPr>
                <w:rFonts w:hint="eastAsia" w:asciiTheme="minorEastAsia" w:hAnsiTheme="minorEastAsia" w:eastAsiaTheme="minorEastAsia" w:cstheme="minorEastAsia"/>
                <w:kern w:val="0"/>
                <w:lang w:val="en-US" w:eastAsia="zh-CN"/>
              </w:rPr>
            </w:pPr>
            <w:r>
              <w:rPr>
                <w:rFonts w:hint="eastAsia" w:asciiTheme="minorEastAsia" w:hAnsiTheme="minorEastAsia" w:eastAsiaTheme="minorEastAsia" w:cstheme="minorEastAsia"/>
                <w:kern w:val="0"/>
                <w:lang w:val="en-US" w:eastAsia="zh-CN"/>
              </w:rPr>
              <w:t>1</w:t>
            </w:r>
          </w:p>
        </w:tc>
        <w:tc>
          <w:tcPr>
            <w:tcW w:w="2286" w:type="dxa"/>
            <w:tcBorders>
              <w:tl2br w:val="nil"/>
              <w:tr2bl w:val="nil"/>
            </w:tcBorders>
            <w:noWrap w:val="0"/>
            <w:vAlign w:val="center"/>
          </w:tcPr>
          <w:p>
            <w:pPr>
              <w:widowControl/>
              <w:spacing w:line="360" w:lineRule="auto"/>
              <w:jc w:val="center"/>
              <w:rPr>
                <w:rFonts w:hint="eastAsia" w:asciiTheme="minorEastAsia" w:hAnsiTheme="minorEastAsia" w:eastAsiaTheme="minorEastAsia" w:cstheme="minorEastAsia"/>
                <w:kern w:val="0"/>
                <w:lang w:val="en-US" w:eastAsia="zh-CN"/>
              </w:rPr>
            </w:pPr>
            <w:r>
              <w:rPr>
                <w:rFonts w:hint="eastAsia" w:asciiTheme="minorEastAsia" w:hAnsiTheme="minorEastAsia" w:eastAsiaTheme="minorEastAsia" w:cstheme="minorEastAsia"/>
                <w:kern w:val="0"/>
                <w:lang w:val="en-US" w:eastAsia="zh-CN"/>
              </w:rPr>
              <w:t>电焊机</w:t>
            </w:r>
          </w:p>
        </w:tc>
        <w:tc>
          <w:tcPr>
            <w:tcW w:w="1815" w:type="dxa"/>
            <w:tcBorders>
              <w:tl2br w:val="nil"/>
              <w:tr2bl w:val="nil"/>
            </w:tcBorders>
            <w:noWrap w:val="0"/>
            <w:vAlign w:val="center"/>
          </w:tcPr>
          <w:p>
            <w:pPr>
              <w:widowControl/>
              <w:spacing w:line="360" w:lineRule="auto"/>
              <w:jc w:val="center"/>
              <w:rPr>
                <w:rFonts w:hint="eastAsia" w:asciiTheme="minorEastAsia" w:hAnsiTheme="minorEastAsia" w:eastAsiaTheme="minorEastAsia" w:cstheme="minorEastAsia"/>
                <w:kern w:val="0"/>
              </w:rPr>
            </w:pPr>
          </w:p>
        </w:tc>
        <w:tc>
          <w:tcPr>
            <w:tcW w:w="850" w:type="dxa"/>
            <w:tcBorders>
              <w:tl2br w:val="nil"/>
              <w:tr2bl w:val="nil"/>
            </w:tcBorders>
            <w:noWrap w:val="0"/>
            <w:vAlign w:val="center"/>
          </w:tcPr>
          <w:p>
            <w:pPr>
              <w:widowControl/>
              <w:spacing w:line="360" w:lineRule="auto"/>
              <w:jc w:val="center"/>
              <w:rPr>
                <w:rFonts w:hint="eastAsia" w:asciiTheme="minorEastAsia" w:hAnsiTheme="minorEastAsia" w:eastAsiaTheme="minorEastAsia" w:cstheme="minorEastAsia"/>
                <w:kern w:val="0"/>
                <w:lang w:val="en-US" w:eastAsia="zh-CN"/>
              </w:rPr>
            </w:pPr>
            <w:r>
              <w:rPr>
                <w:rFonts w:hint="eastAsia" w:asciiTheme="minorEastAsia" w:hAnsiTheme="minorEastAsia" w:eastAsiaTheme="minorEastAsia" w:cstheme="minorEastAsia"/>
                <w:kern w:val="0"/>
                <w:lang w:val="en-US" w:eastAsia="zh-CN"/>
              </w:rPr>
              <w:t>台</w:t>
            </w:r>
          </w:p>
        </w:tc>
        <w:tc>
          <w:tcPr>
            <w:tcW w:w="851" w:type="dxa"/>
            <w:tcBorders>
              <w:tl2br w:val="nil"/>
              <w:tr2bl w:val="nil"/>
            </w:tcBorders>
            <w:noWrap w:val="0"/>
            <w:vAlign w:val="center"/>
          </w:tcPr>
          <w:p>
            <w:pPr>
              <w:widowControl/>
              <w:spacing w:line="360" w:lineRule="auto"/>
              <w:jc w:val="center"/>
              <w:rPr>
                <w:rFonts w:hint="eastAsia" w:asciiTheme="minorEastAsia" w:hAnsiTheme="minorEastAsia" w:eastAsiaTheme="minorEastAsia" w:cstheme="minorEastAsia"/>
                <w:kern w:val="0"/>
              </w:rPr>
            </w:pPr>
          </w:p>
        </w:tc>
        <w:tc>
          <w:tcPr>
            <w:tcW w:w="1843" w:type="dxa"/>
            <w:tcBorders>
              <w:tl2br w:val="nil"/>
              <w:tr2bl w:val="nil"/>
            </w:tcBorders>
            <w:noWrap w:val="0"/>
            <w:vAlign w:val="center"/>
          </w:tcPr>
          <w:p>
            <w:pPr>
              <w:widowControl/>
              <w:spacing w:line="360" w:lineRule="auto"/>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rPr>
              <w:t>XX品牌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85" w:hRule="atLeast"/>
        </w:trPr>
        <w:tc>
          <w:tcPr>
            <w:tcW w:w="719" w:type="dxa"/>
            <w:tcBorders>
              <w:tl2br w:val="nil"/>
              <w:tr2bl w:val="nil"/>
            </w:tcBorders>
            <w:noWrap w:val="0"/>
            <w:vAlign w:val="center"/>
          </w:tcPr>
          <w:p>
            <w:pPr>
              <w:widowControl/>
              <w:jc w:val="center"/>
              <w:rPr>
                <w:rFonts w:hint="eastAsia" w:asciiTheme="minorEastAsia" w:hAnsiTheme="minorEastAsia" w:eastAsiaTheme="minorEastAsia" w:cstheme="minorEastAsia"/>
                <w:kern w:val="0"/>
                <w:lang w:eastAsia="zh-CN"/>
              </w:rPr>
            </w:pPr>
            <w:r>
              <w:rPr>
                <w:rFonts w:hint="eastAsia" w:asciiTheme="minorEastAsia" w:hAnsiTheme="minorEastAsia" w:eastAsiaTheme="minorEastAsia" w:cstheme="minorEastAsia"/>
                <w:kern w:val="0"/>
                <w:lang w:val="en-US" w:eastAsia="zh-CN"/>
              </w:rPr>
              <w:t>2</w:t>
            </w:r>
          </w:p>
        </w:tc>
        <w:tc>
          <w:tcPr>
            <w:tcW w:w="2286" w:type="dxa"/>
            <w:tcBorders>
              <w:tl2br w:val="nil"/>
              <w:tr2bl w:val="nil"/>
            </w:tcBorders>
            <w:noWrap w:val="0"/>
            <w:vAlign w:val="center"/>
          </w:tcPr>
          <w:p>
            <w:pPr>
              <w:widowControl/>
              <w:jc w:val="center"/>
              <w:rPr>
                <w:rFonts w:hint="eastAsia" w:asciiTheme="minorEastAsia" w:hAnsiTheme="minorEastAsia" w:eastAsiaTheme="minorEastAsia" w:cstheme="minorEastAsia"/>
                <w:kern w:val="0"/>
                <w:lang w:val="en-US" w:eastAsia="zh-CN"/>
              </w:rPr>
            </w:pPr>
            <w:r>
              <w:rPr>
                <w:rFonts w:hint="eastAsia" w:asciiTheme="minorEastAsia" w:hAnsiTheme="minorEastAsia" w:eastAsiaTheme="minorEastAsia" w:cstheme="minorEastAsia"/>
                <w:kern w:val="0"/>
                <w:lang w:val="en-US" w:eastAsia="zh-CN"/>
              </w:rPr>
              <w:t>切割机</w:t>
            </w:r>
          </w:p>
        </w:tc>
        <w:tc>
          <w:tcPr>
            <w:tcW w:w="1815" w:type="dxa"/>
            <w:tcBorders>
              <w:tl2br w:val="nil"/>
              <w:tr2bl w:val="nil"/>
            </w:tcBorders>
            <w:noWrap w:val="0"/>
            <w:vAlign w:val="center"/>
          </w:tcPr>
          <w:p>
            <w:pPr>
              <w:widowControl/>
              <w:jc w:val="center"/>
              <w:rPr>
                <w:rFonts w:hint="eastAsia" w:asciiTheme="minorEastAsia" w:hAnsiTheme="minorEastAsia" w:eastAsiaTheme="minorEastAsia" w:cstheme="minorEastAsia"/>
                <w:kern w:val="0"/>
              </w:rPr>
            </w:pPr>
          </w:p>
        </w:tc>
        <w:tc>
          <w:tcPr>
            <w:tcW w:w="850" w:type="dxa"/>
            <w:tcBorders>
              <w:tl2br w:val="nil"/>
              <w:tr2bl w:val="nil"/>
            </w:tcBorders>
            <w:noWrap w:val="0"/>
            <w:vAlign w:val="center"/>
          </w:tcPr>
          <w:p>
            <w:pPr>
              <w:widowControl/>
              <w:spacing w:line="360" w:lineRule="auto"/>
              <w:jc w:val="center"/>
              <w:rPr>
                <w:rFonts w:hint="eastAsia" w:asciiTheme="minorEastAsia" w:hAnsiTheme="minorEastAsia" w:eastAsiaTheme="minorEastAsia" w:cstheme="minorEastAsia"/>
                <w:kern w:val="0"/>
                <w:lang w:val="en-US" w:eastAsia="zh-CN"/>
              </w:rPr>
            </w:pPr>
            <w:r>
              <w:rPr>
                <w:rFonts w:hint="eastAsia" w:asciiTheme="minorEastAsia" w:hAnsiTheme="minorEastAsia" w:eastAsiaTheme="minorEastAsia" w:cstheme="minorEastAsia"/>
                <w:kern w:val="0"/>
                <w:lang w:val="en-US" w:eastAsia="zh-CN"/>
              </w:rPr>
              <w:t>台</w:t>
            </w:r>
          </w:p>
        </w:tc>
        <w:tc>
          <w:tcPr>
            <w:tcW w:w="851" w:type="dxa"/>
            <w:tcBorders>
              <w:tl2br w:val="nil"/>
              <w:tr2bl w:val="nil"/>
            </w:tcBorders>
            <w:noWrap w:val="0"/>
            <w:vAlign w:val="center"/>
          </w:tcPr>
          <w:p>
            <w:pPr>
              <w:widowControl/>
              <w:jc w:val="center"/>
              <w:rPr>
                <w:rFonts w:hint="eastAsia" w:asciiTheme="minorEastAsia" w:hAnsiTheme="minorEastAsia" w:eastAsiaTheme="minorEastAsia" w:cstheme="minorEastAsia"/>
                <w:kern w:val="0"/>
              </w:rPr>
            </w:pPr>
          </w:p>
        </w:tc>
        <w:tc>
          <w:tcPr>
            <w:tcW w:w="1843" w:type="dxa"/>
            <w:tcBorders>
              <w:tl2br w:val="nil"/>
              <w:tr2bl w:val="nil"/>
            </w:tcBorders>
            <w:noWrap w:val="0"/>
            <w:vAlign w:val="center"/>
          </w:tcPr>
          <w:p>
            <w:pPr>
              <w:widowControl/>
              <w:spacing w:line="360" w:lineRule="auto"/>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rPr>
              <w:t>XX品牌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85" w:hRule="atLeast"/>
        </w:trPr>
        <w:tc>
          <w:tcPr>
            <w:tcW w:w="719" w:type="dxa"/>
            <w:tcBorders>
              <w:tl2br w:val="nil"/>
              <w:tr2bl w:val="nil"/>
            </w:tcBorders>
            <w:noWrap w:val="0"/>
            <w:vAlign w:val="center"/>
          </w:tcPr>
          <w:p>
            <w:pPr>
              <w:widowControl/>
              <w:jc w:val="center"/>
              <w:rPr>
                <w:rFonts w:hint="eastAsia" w:asciiTheme="minorEastAsia" w:hAnsiTheme="minorEastAsia" w:eastAsiaTheme="minorEastAsia" w:cstheme="minorEastAsia"/>
                <w:kern w:val="0"/>
                <w:lang w:eastAsia="zh-CN"/>
              </w:rPr>
            </w:pPr>
            <w:r>
              <w:rPr>
                <w:rFonts w:hint="eastAsia" w:asciiTheme="minorEastAsia" w:hAnsiTheme="minorEastAsia" w:eastAsiaTheme="minorEastAsia" w:cstheme="minorEastAsia"/>
                <w:kern w:val="0"/>
                <w:lang w:val="en-US" w:eastAsia="zh-CN"/>
              </w:rPr>
              <w:t>3</w:t>
            </w:r>
          </w:p>
        </w:tc>
        <w:tc>
          <w:tcPr>
            <w:tcW w:w="2286" w:type="dxa"/>
            <w:tcBorders>
              <w:tl2br w:val="nil"/>
              <w:tr2bl w:val="nil"/>
            </w:tcBorders>
            <w:noWrap w:val="0"/>
            <w:vAlign w:val="center"/>
          </w:tcPr>
          <w:p>
            <w:pPr>
              <w:widowControl/>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rPr>
              <w:t>磨光机</w:t>
            </w:r>
          </w:p>
        </w:tc>
        <w:tc>
          <w:tcPr>
            <w:tcW w:w="1815" w:type="dxa"/>
            <w:tcBorders>
              <w:tl2br w:val="nil"/>
              <w:tr2bl w:val="nil"/>
            </w:tcBorders>
            <w:noWrap w:val="0"/>
            <w:vAlign w:val="center"/>
          </w:tcPr>
          <w:p>
            <w:pPr>
              <w:widowControl/>
              <w:jc w:val="center"/>
              <w:rPr>
                <w:rFonts w:hint="eastAsia" w:asciiTheme="minorEastAsia" w:hAnsiTheme="minorEastAsia" w:eastAsiaTheme="minorEastAsia" w:cstheme="minorEastAsia"/>
                <w:kern w:val="0"/>
                <w:sz w:val="21"/>
                <w:szCs w:val="21"/>
                <w:lang w:val="en-US" w:eastAsia="zh-CN" w:bidi="ar-SA"/>
              </w:rPr>
            </w:pPr>
          </w:p>
        </w:tc>
        <w:tc>
          <w:tcPr>
            <w:tcW w:w="850" w:type="dxa"/>
            <w:tcBorders>
              <w:tl2br w:val="nil"/>
              <w:tr2bl w:val="nil"/>
            </w:tcBorders>
            <w:noWrap w:val="0"/>
            <w:vAlign w:val="center"/>
          </w:tcPr>
          <w:p>
            <w:pPr>
              <w:widowControl/>
              <w:spacing w:line="360" w:lineRule="auto"/>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rPr>
              <w:t>台</w:t>
            </w:r>
          </w:p>
        </w:tc>
        <w:tc>
          <w:tcPr>
            <w:tcW w:w="851" w:type="dxa"/>
            <w:tcBorders>
              <w:tl2br w:val="nil"/>
              <w:tr2bl w:val="nil"/>
            </w:tcBorders>
            <w:noWrap w:val="0"/>
            <w:vAlign w:val="center"/>
          </w:tcPr>
          <w:p>
            <w:pPr>
              <w:widowControl/>
              <w:jc w:val="center"/>
              <w:rPr>
                <w:rFonts w:hint="eastAsia" w:asciiTheme="minorEastAsia" w:hAnsiTheme="minorEastAsia" w:eastAsiaTheme="minorEastAsia" w:cstheme="minorEastAsia"/>
                <w:kern w:val="0"/>
                <w:sz w:val="21"/>
                <w:szCs w:val="21"/>
                <w:lang w:val="en-US" w:eastAsia="zh-CN" w:bidi="ar-SA"/>
              </w:rPr>
            </w:pPr>
          </w:p>
        </w:tc>
        <w:tc>
          <w:tcPr>
            <w:tcW w:w="1843" w:type="dxa"/>
            <w:tcBorders>
              <w:tl2br w:val="nil"/>
              <w:tr2bl w:val="nil"/>
            </w:tcBorders>
            <w:noWrap w:val="0"/>
            <w:vAlign w:val="center"/>
          </w:tcPr>
          <w:p>
            <w:pPr>
              <w:widowControl/>
              <w:spacing w:line="360" w:lineRule="auto"/>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rPr>
              <w:t>XX品牌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85" w:hRule="atLeast"/>
        </w:trPr>
        <w:tc>
          <w:tcPr>
            <w:tcW w:w="719" w:type="dxa"/>
            <w:tcBorders>
              <w:tl2br w:val="nil"/>
              <w:tr2bl w:val="nil"/>
            </w:tcBorders>
            <w:noWrap w:val="0"/>
            <w:vAlign w:val="center"/>
          </w:tcPr>
          <w:p>
            <w:pPr>
              <w:widowControl/>
              <w:jc w:val="center"/>
              <w:rPr>
                <w:rFonts w:hint="eastAsia" w:asciiTheme="minorEastAsia" w:hAnsiTheme="minorEastAsia" w:eastAsiaTheme="minorEastAsia" w:cstheme="minorEastAsia"/>
                <w:kern w:val="0"/>
                <w:lang w:eastAsia="zh-CN"/>
              </w:rPr>
            </w:pPr>
            <w:r>
              <w:rPr>
                <w:rFonts w:hint="eastAsia" w:asciiTheme="minorEastAsia" w:hAnsiTheme="minorEastAsia" w:eastAsiaTheme="minorEastAsia" w:cstheme="minorEastAsia"/>
                <w:kern w:val="0"/>
                <w:lang w:val="en-US" w:eastAsia="zh-CN"/>
              </w:rPr>
              <w:t>4</w:t>
            </w:r>
          </w:p>
        </w:tc>
        <w:tc>
          <w:tcPr>
            <w:tcW w:w="2286" w:type="dxa"/>
            <w:tcBorders>
              <w:tl2br w:val="nil"/>
              <w:tr2bl w:val="nil"/>
            </w:tcBorders>
            <w:noWrap w:val="0"/>
            <w:vAlign w:val="center"/>
          </w:tcPr>
          <w:p>
            <w:pPr>
              <w:widowControl/>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rPr>
              <w:t>涂层测厚仪</w:t>
            </w:r>
          </w:p>
        </w:tc>
        <w:tc>
          <w:tcPr>
            <w:tcW w:w="1815" w:type="dxa"/>
            <w:tcBorders>
              <w:tl2br w:val="nil"/>
              <w:tr2bl w:val="nil"/>
            </w:tcBorders>
            <w:noWrap w:val="0"/>
            <w:vAlign w:val="center"/>
          </w:tcPr>
          <w:p>
            <w:pPr>
              <w:widowControl/>
              <w:jc w:val="center"/>
              <w:rPr>
                <w:rFonts w:hint="eastAsia" w:asciiTheme="minorEastAsia" w:hAnsiTheme="minorEastAsia" w:eastAsiaTheme="minorEastAsia" w:cstheme="minorEastAsia"/>
                <w:kern w:val="0"/>
                <w:sz w:val="21"/>
                <w:szCs w:val="21"/>
                <w:lang w:val="en-US" w:eastAsia="zh-CN" w:bidi="ar-SA"/>
              </w:rPr>
            </w:pPr>
          </w:p>
        </w:tc>
        <w:tc>
          <w:tcPr>
            <w:tcW w:w="850" w:type="dxa"/>
            <w:tcBorders>
              <w:tl2br w:val="nil"/>
              <w:tr2bl w:val="nil"/>
            </w:tcBorders>
            <w:noWrap w:val="0"/>
            <w:vAlign w:val="center"/>
          </w:tcPr>
          <w:p>
            <w:pPr>
              <w:widowControl/>
              <w:spacing w:line="360" w:lineRule="auto"/>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rPr>
              <w:t>台</w:t>
            </w:r>
          </w:p>
        </w:tc>
        <w:tc>
          <w:tcPr>
            <w:tcW w:w="851" w:type="dxa"/>
            <w:tcBorders>
              <w:tl2br w:val="nil"/>
              <w:tr2bl w:val="nil"/>
            </w:tcBorders>
            <w:noWrap w:val="0"/>
            <w:vAlign w:val="center"/>
          </w:tcPr>
          <w:p>
            <w:pPr>
              <w:widowControl/>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rPr>
              <w:t>1</w:t>
            </w:r>
          </w:p>
        </w:tc>
        <w:tc>
          <w:tcPr>
            <w:tcW w:w="1843" w:type="dxa"/>
            <w:tcBorders>
              <w:tl2br w:val="nil"/>
              <w:tr2bl w:val="nil"/>
            </w:tcBorders>
            <w:noWrap w:val="0"/>
            <w:vAlign w:val="center"/>
          </w:tcPr>
          <w:p>
            <w:pPr>
              <w:widowControl/>
              <w:spacing w:line="360" w:lineRule="auto"/>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rPr>
              <w:t>XX品牌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85" w:hRule="atLeast"/>
        </w:trPr>
        <w:tc>
          <w:tcPr>
            <w:tcW w:w="719" w:type="dxa"/>
            <w:tcBorders>
              <w:tl2br w:val="nil"/>
              <w:tr2bl w:val="nil"/>
            </w:tcBorders>
            <w:noWrap w:val="0"/>
            <w:vAlign w:val="center"/>
          </w:tcPr>
          <w:p>
            <w:pPr>
              <w:widowControl/>
              <w:jc w:val="center"/>
              <w:rPr>
                <w:rFonts w:hint="eastAsia" w:asciiTheme="minorEastAsia" w:hAnsiTheme="minorEastAsia" w:eastAsiaTheme="minorEastAsia" w:cstheme="minorEastAsia"/>
                <w:kern w:val="0"/>
                <w:lang w:eastAsia="zh-CN"/>
              </w:rPr>
            </w:pPr>
            <w:r>
              <w:rPr>
                <w:rFonts w:hint="eastAsia" w:asciiTheme="minorEastAsia" w:hAnsiTheme="minorEastAsia" w:eastAsiaTheme="minorEastAsia" w:cstheme="minorEastAsia"/>
                <w:kern w:val="0"/>
                <w:lang w:val="en-US" w:eastAsia="zh-CN"/>
              </w:rPr>
              <w:t>5</w:t>
            </w:r>
          </w:p>
        </w:tc>
        <w:tc>
          <w:tcPr>
            <w:tcW w:w="2286" w:type="dxa"/>
            <w:tcBorders>
              <w:tl2br w:val="nil"/>
              <w:tr2bl w:val="nil"/>
            </w:tcBorders>
            <w:noWrap w:val="0"/>
            <w:vAlign w:val="center"/>
          </w:tcPr>
          <w:p>
            <w:pPr>
              <w:widowControl/>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rPr>
              <w:t>湿度计</w:t>
            </w:r>
          </w:p>
        </w:tc>
        <w:tc>
          <w:tcPr>
            <w:tcW w:w="1815" w:type="dxa"/>
            <w:tcBorders>
              <w:tl2br w:val="nil"/>
              <w:tr2bl w:val="nil"/>
            </w:tcBorders>
            <w:noWrap w:val="0"/>
            <w:vAlign w:val="center"/>
          </w:tcPr>
          <w:p>
            <w:pPr>
              <w:widowControl/>
              <w:jc w:val="center"/>
              <w:rPr>
                <w:rFonts w:hint="eastAsia" w:asciiTheme="minorEastAsia" w:hAnsiTheme="minorEastAsia" w:eastAsiaTheme="minorEastAsia" w:cstheme="minorEastAsia"/>
                <w:kern w:val="0"/>
                <w:sz w:val="21"/>
                <w:szCs w:val="21"/>
                <w:lang w:val="en-US" w:eastAsia="zh-CN" w:bidi="ar-SA"/>
              </w:rPr>
            </w:pPr>
          </w:p>
        </w:tc>
        <w:tc>
          <w:tcPr>
            <w:tcW w:w="850" w:type="dxa"/>
            <w:tcBorders>
              <w:tl2br w:val="nil"/>
              <w:tr2bl w:val="nil"/>
            </w:tcBorders>
            <w:noWrap w:val="0"/>
            <w:vAlign w:val="center"/>
          </w:tcPr>
          <w:p>
            <w:pPr>
              <w:widowControl/>
              <w:spacing w:line="360" w:lineRule="auto"/>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rPr>
              <w:t>台</w:t>
            </w:r>
          </w:p>
        </w:tc>
        <w:tc>
          <w:tcPr>
            <w:tcW w:w="851" w:type="dxa"/>
            <w:tcBorders>
              <w:tl2br w:val="nil"/>
              <w:tr2bl w:val="nil"/>
            </w:tcBorders>
            <w:noWrap w:val="0"/>
            <w:vAlign w:val="center"/>
          </w:tcPr>
          <w:p>
            <w:pPr>
              <w:widowControl/>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rPr>
              <w:t>1</w:t>
            </w:r>
          </w:p>
        </w:tc>
        <w:tc>
          <w:tcPr>
            <w:tcW w:w="1843" w:type="dxa"/>
            <w:tcBorders>
              <w:tl2br w:val="nil"/>
              <w:tr2bl w:val="nil"/>
            </w:tcBorders>
            <w:noWrap w:val="0"/>
            <w:vAlign w:val="center"/>
          </w:tcPr>
          <w:p>
            <w:pPr>
              <w:widowControl/>
              <w:spacing w:line="360" w:lineRule="auto"/>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rPr>
              <w:t>XX品牌</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85" w:hRule="atLeast"/>
        </w:trPr>
        <w:tc>
          <w:tcPr>
            <w:tcW w:w="719" w:type="dxa"/>
            <w:tcBorders>
              <w:tl2br w:val="nil"/>
              <w:tr2bl w:val="nil"/>
            </w:tcBorders>
            <w:noWrap w:val="0"/>
            <w:vAlign w:val="center"/>
          </w:tcPr>
          <w:p>
            <w:pPr>
              <w:widowControl/>
              <w:jc w:val="center"/>
              <w:rPr>
                <w:rFonts w:hint="eastAsia" w:asciiTheme="minorEastAsia" w:hAnsiTheme="minorEastAsia" w:eastAsiaTheme="minorEastAsia" w:cstheme="minorEastAsia"/>
                <w:kern w:val="0"/>
                <w:lang w:eastAsia="zh-CN"/>
              </w:rPr>
            </w:pPr>
            <w:r>
              <w:rPr>
                <w:rFonts w:hint="eastAsia" w:asciiTheme="minorEastAsia" w:hAnsiTheme="minorEastAsia" w:eastAsiaTheme="minorEastAsia" w:cstheme="minorEastAsia"/>
                <w:kern w:val="0"/>
                <w:lang w:val="en-US" w:eastAsia="zh-CN"/>
              </w:rPr>
              <w:t>6</w:t>
            </w:r>
          </w:p>
        </w:tc>
        <w:tc>
          <w:tcPr>
            <w:tcW w:w="2286" w:type="dxa"/>
            <w:tcBorders>
              <w:tl2br w:val="nil"/>
              <w:tr2bl w:val="nil"/>
            </w:tcBorders>
            <w:noWrap w:val="0"/>
            <w:vAlign w:val="center"/>
          </w:tcPr>
          <w:p>
            <w:pPr>
              <w:widowControl/>
              <w:jc w:val="center"/>
              <w:rPr>
                <w:rFonts w:hint="eastAsia" w:asciiTheme="minorEastAsia" w:hAnsiTheme="minorEastAsia" w:eastAsiaTheme="minorEastAsia" w:cstheme="minorEastAsia"/>
                <w:kern w:val="0"/>
                <w:sz w:val="21"/>
                <w:szCs w:val="21"/>
                <w:lang w:val="en-US" w:eastAsia="zh-CN" w:bidi="ar-SA"/>
              </w:rPr>
            </w:pPr>
            <w:r>
              <w:rPr>
                <w:rFonts w:hint="eastAsia" w:asciiTheme="minorEastAsia" w:hAnsiTheme="minorEastAsia" w:eastAsiaTheme="minorEastAsia" w:cstheme="minorEastAsia"/>
                <w:kern w:val="0"/>
                <w:sz w:val="21"/>
                <w:szCs w:val="21"/>
                <w:lang w:val="en-US" w:eastAsia="zh-CN" w:bidi="ar-SA"/>
              </w:rPr>
              <w:t>.......</w:t>
            </w:r>
          </w:p>
        </w:tc>
        <w:tc>
          <w:tcPr>
            <w:tcW w:w="1815" w:type="dxa"/>
            <w:tcBorders>
              <w:tl2br w:val="nil"/>
              <w:tr2bl w:val="nil"/>
            </w:tcBorders>
            <w:noWrap w:val="0"/>
            <w:vAlign w:val="center"/>
          </w:tcPr>
          <w:p>
            <w:pPr>
              <w:widowControl/>
              <w:jc w:val="center"/>
              <w:rPr>
                <w:rFonts w:hint="eastAsia" w:asciiTheme="minorEastAsia" w:hAnsiTheme="minorEastAsia" w:eastAsiaTheme="minorEastAsia" w:cstheme="minorEastAsia"/>
                <w:kern w:val="0"/>
                <w:sz w:val="21"/>
                <w:szCs w:val="21"/>
                <w:lang w:val="en-US" w:eastAsia="zh-CN" w:bidi="ar-SA"/>
              </w:rPr>
            </w:pPr>
          </w:p>
        </w:tc>
        <w:tc>
          <w:tcPr>
            <w:tcW w:w="850" w:type="dxa"/>
            <w:tcBorders>
              <w:tl2br w:val="nil"/>
              <w:tr2bl w:val="nil"/>
            </w:tcBorders>
            <w:noWrap w:val="0"/>
            <w:vAlign w:val="center"/>
          </w:tcPr>
          <w:p>
            <w:pPr>
              <w:widowControl/>
              <w:spacing w:line="360" w:lineRule="auto"/>
              <w:jc w:val="center"/>
              <w:rPr>
                <w:rFonts w:hint="eastAsia" w:asciiTheme="minorEastAsia" w:hAnsiTheme="minorEastAsia" w:eastAsiaTheme="minorEastAsia" w:cstheme="minorEastAsia"/>
                <w:kern w:val="0"/>
                <w:sz w:val="21"/>
                <w:szCs w:val="21"/>
                <w:lang w:val="en-US" w:eastAsia="zh-CN" w:bidi="ar-SA"/>
              </w:rPr>
            </w:pPr>
          </w:p>
        </w:tc>
        <w:tc>
          <w:tcPr>
            <w:tcW w:w="851" w:type="dxa"/>
            <w:tcBorders>
              <w:tl2br w:val="nil"/>
              <w:tr2bl w:val="nil"/>
            </w:tcBorders>
            <w:noWrap w:val="0"/>
            <w:vAlign w:val="center"/>
          </w:tcPr>
          <w:p>
            <w:pPr>
              <w:widowControl/>
              <w:jc w:val="center"/>
              <w:rPr>
                <w:rFonts w:hint="eastAsia" w:asciiTheme="minorEastAsia" w:hAnsiTheme="minorEastAsia" w:eastAsiaTheme="minorEastAsia" w:cstheme="minorEastAsia"/>
                <w:kern w:val="0"/>
                <w:sz w:val="21"/>
                <w:szCs w:val="21"/>
                <w:lang w:val="en-US" w:eastAsia="zh-CN" w:bidi="ar-SA"/>
              </w:rPr>
            </w:pPr>
          </w:p>
        </w:tc>
        <w:tc>
          <w:tcPr>
            <w:tcW w:w="1843" w:type="dxa"/>
            <w:tcBorders>
              <w:tl2br w:val="nil"/>
              <w:tr2bl w:val="nil"/>
            </w:tcBorders>
            <w:noWrap w:val="0"/>
            <w:vAlign w:val="center"/>
          </w:tcPr>
          <w:p>
            <w:pPr>
              <w:widowControl/>
              <w:spacing w:line="360" w:lineRule="auto"/>
              <w:jc w:val="center"/>
              <w:rPr>
                <w:rFonts w:hint="eastAsia" w:asciiTheme="minorEastAsia" w:hAnsiTheme="minorEastAsia" w:eastAsiaTheme="minorEastAsia" w:cstheme="minorEastAsia"/>
                <w:kern w:val="0"/>
                <w:sz w:val="21"/>
                <w:szCs w:val="21"/>
                <w:lang w:val="en-US" w:eastAsia="zh-CN" w:bidi="ar-SA"/>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85" w:hRule="atLeast"/>
        </w:trPr>
        <w:tc>
          <w:tcPr>
            <w:tcW w:w="719" w:type="dxa"/>
            <w:tcBorders>
              <w:tl2br w:val="nil"/>
              <w:tr2bl w:val="nil"/>
            </w:tcBorders>
            <w:noWrap w:val="0"/>
            <w:vAlign w:val="center"/>
          </w:tcPr>
          <w:p>
            <w:pPr>
              <w:widowControl/>
              <w:jc w:val="center"/>
              <w:rPr>
                <w:rFonts w:hint="eastAsia" w:asciiTheme="minorEastAsia" w:hAnsiTheme="minorEastAsia" w:eastAsiaTheme="minorEastAsia" w:cstheme="minorEastAsia"/>
                <w:kern w:val="0"/>
                <w:lang w:eastAsia="zh-CN"/>
              </w:rPr>
            </w:pPr>
            <w:r>
              <w:rPr>
                <w:rFonts w:hint="eastAsia" w:asciiTheme="minorEastAsia" w:hAnsiTheme="minorEastAsia" w:eastAsiaTheme="minorEastAsia" w:cstheme="minorEastAsia"/>
                <w:kern w:val="0"/>
                <w:lang w:val="en-US" w:eastAsia="zh-CN"/>
              </w:rPr>
              <w:t>7</w:t>
            </w:r>
          </w:p>
        </w:tc>
        <w:tc>
          <w:tcPr>
            <w:tcW w:w="2286" w:type="dxa"/>
            <w:tcBorders>
              <w:tl2br w:val="nil"/>
              <w:tr2bl w:val="nil"/>
            </w:tcBorders>
            <w:noWrap w:val="0"/>
            <w:vAlign w:val="center"/>
          </w:tcPr>
          <w:p>
            <w:pPr>
              <w:widowControl/>
              <w:jc w:val="center"/>
              <w:rPr>
                <w:rFonts w:hint="eastAsia" w:asciiTheme="minorEastAsia" w:hAnsiTheme="minorEastAsia" w:eastAsiaTheme="minorEastAsia" w:cstheme="minorEastAsia"/>
                <w:kern w:val="0"/>
              </w:rPr>
            </w:pPr>
            <w:r>
              <w:rPr>
                <w:rFonts w:hint="eastAsia" w:asciiTheme="minorEastAsia" w:hAnsiTheme="minorEastAsia" w:eastAsiaTheme="minorEastAsia" w:cstheme="minorEastAsia"/>
                <w:kern w:val="0"/>
              </w:rPr>
              <w:t>……</w:t>
            </w:r>
          </w:p>
        </w:tc>
        <w:tc>
          <w:tcPr>
            <w:tcW w:w="1815" w:type="dxa"/>
            <w:tcBorders>
              <w:tl2br w:val="nil"/>
              <w:tr2bl w:val="nil"/>
            </w:tcBorders>
            <w:noWrap w:val="0"/>
            <w:vAlign w:val="center"/>
          </w:tcPr>
          <w:p>
            <w:pPr>
              <w:widowControl/>
              <w:jc w:val="center"/>
              <w:rPr>
                <w:rFonts w:hint="eastAsia" w:asciiTheme="minorEastAsia" w:hAnsiTheme="minorEastAsia" w:eastAsiaTheme="minorEastAsia" w:cstheme="minorEastAsia"/>
                <w:kern w:val="0"/>
              </w:rPr>
            </w:pPr>
          </w:p>
        </w:tc>
        <w:tc>
          <w:tcPr>
            <w:tcW w:w="850" w:type="dxa"/>
            <w:tcBorders>
              <w:tl2br w:val="nil"/>
              <w:tr2bl w:val="nil"/>
            </w:tcBorders>
            <w:noWrap w:val="0"/>
            <w:vAlign w:val="center"/>
          </w:tcPr>
          <w:p>
            <w:pPr>
              <w:widowControl/>
              <w:spacing w:line="360" w:lineRule="auto"/>
              <w:jc w:val="center"/>
              <w:rPr>
                <w:rFonts w:hint="eastAsia" w:asciiTheme="minorEastAsia" w:hAnsiTheme="minorEastAsia" w:eastAsiaTheme="minorEastAsia" w:cstheme="minorEastAsia"/>
                <w:kern w:val="0"/>
              </w:rPr>
            </w:pPr>
          </w:p>
        </w:tc>
        <w:tc>
          <w:tcPr>
            <w:tcW w:w="851" w:type="dxa"/>
            <w:tcBorders>
              <w:tl2br w:val="nil"/>
              <w:tr2bl w:val="nil"/>
            </w:tcBorders>
            <w:noWrap w:val="0"/>
            <w:vAlign w:val="center"/>
          </w:tcPr>
          <w:p>
            <w:pPr>
              <w:widowControl/>
              <w:jc w:val="center"/>
              <w:rPr>
                <w:rFonts w:hint="eastAsia" w:asciiTheme="minorEastAsia" w:hAnsiTheme="minorEastAsia" w:eastAsiaTheme="minorEastAsia" w:cstheme="minorEastAsia"/>
                <w:kern w:val="0"/>
              </w:rPr>
            </w:pPr>
          </w:p>
        </w:tc>
        <w:tc>
          <w:tcPr>
            <w:tcW w:w="1843" w:type="dxa"/>
            <w:tcBorders>
              <w:tl2br w:val="nil"/>
              <w:tr2bl w:val="nil"/>
            </w:tcBorders>
            <w:noWrap w:val="0"/>
            <w:vAlign w:val="center"/>
          </w:tcPr>
          <w:p>
            <w:pPr>
              <w:widowControl/>
              <w:spacing w:line="360" w:lineRule="auto"/>
              <w:jc w:val="center"/>
              <w:rPr>
                <w:rFonts w:hint="eastAsia" w:asciiTheme="minorEastAsia" w:hAnsiTheme="minorEastAsia" w:eastAsiaTheme="minorEastAsia" w:cstheme="minorEastAsia"/>
                <w:kern w:val="0"/>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285" w:hRule="atLeast"/>
        </w:trPr>
        <w:tc>
          <w:tcPr>
            <w:tcW w:w="719" w:type="dxa"/>
            <w:tcBorders>
              <w:tl2br w:val="nil"/>
              <w:tr2bl w:val="nil"/>
            </w:tcBorders>
            <w:noWrap w:val="0"/>
            <w:vAlign w:val="center"/>
          </w:tcPr>
          <w:p>
            <w:pPr>
              <w:widowControl/>
              <w:jc w:val="center"/>
              <w:rPr>
                <w:rFonts w:hint="eastAsia" w:asciiTheme="minorEastAsia" w:hAnsiTheme="minorEastAsia" w:eastAsiaTheme="minorEastAsia" w:cstheme="minorEastAsia"/>
                <w:kern w:val="0"/>
              </w:rPr>
            </w:pPr>
          </w:p>
        </w:tc>
        <w:tc>
          <w:tcPr>
            <w:tcW w:w="2286" w:type="dxa"/>
            <w:tcBorders>
              <w:tl2br w:val="nil"/>
              <w:tr2bl w:val="nil"/>
            </w:tcBorders>
            <w:noWrap w:val="0"/>
            <w:vAlign w:val="center"/>
          </w:tcPr>
          <w:p>
            <w:pPr>
              <w:widowControl/>
              <w:jc w:val="center"/>
              <w:rPr>
                <w:rFonts w:hint="eastAsia" w:asciiTheme="minorEastAsia" w:hAnsiTheme="minorEastAsia" w:eastAsiaTheme="minorEastAsia" w:cstheme="minorEastAsia"/>
                <w:kern w:val="0"/>
              </w:rPr>
            </w:pPr>
          </w:p>
        </w:tc>
        <w:tc>
          <w:tcPr>
            <w:tcW w:w="1815" w:type="dxa"/>
            <w:tcBorders>
              <w:tl2br w:val="nil"/>
              <w:tr2bl w:val="nil"/>
            </w:tcBorders>
            <w:noWrap w:val="0"/>
            <w:vAlign w:val="center"/>
          </w:tcPr>
          <w:p>
            <w:pPr>
              <w:widowControl/>
              <w:jc w:val="center"/>
              <w:rPr>
                <w:rFonts w:hint="eastAsia" w:asciiTheme="minorEastAsia" w:hAnsiTheme="minorEastAsia" w:eastAsiaTheme="minorEastAsia" w:cstheme="minorEastAsia"/>
                <w:kern w:val="0"/>
              </w:rPr>
            </w:pPr>
          </w:p>
        </w:tc>
        <w:tc>
          <w:tcPr>
            <w:tcW w:w="850" w:type="dxa"/>
            <w:tcBorders>
              <w:tl2br w:val="nil"/>
              <w:tr2bl w:val="nil"/>
            </w:tcBorders>
            <w:noWrap w:val="0"/>
            <w:vAlign w:val="center"/>
          </w:tcPr>
          <w:p>
            <w:pPr>
              <w:widowControl/>
              <w:spacing w:line="360" w:lineRule="auto"/>
              <w:jc w:val="center"/>
              <w:rPr>
                <w:rFonts w:hint="eastAsia" w:asciiTheme="minorEastAsia" w:hAnsiTheme="minorEastAsia" w:eastAsiaTheme="minorEastAsia" w:cstheme="minorEastAsia"/>
                <w:kern w:val="0"/>
              </w:rPr>
            </w:pPr>
          </w:p>
        </w:tc>
        <w:tc>
          <w:tcPr>
            <w:tcW w:w="851" w:type="dxa"/>
            <w:tcBorders>
              <w:tl2br w:val="nil"/>
              <w:tr2bl w:val="nil"/>
            </w:tcBorders>
            <w:noWrap w:val="0"/>
            <w:vAlign w:val="center"/>
          </w:tcPr>
          <w:p>
            <w:pPr>
              <w:widowControl/>
              <w:jc w:val="center"/>
              <w:rPr>
                <w:rFonts w:hint="eastAsia" w:asciiTheme="minorEastAsia" w:hAnsiTheme="minorEastAsia" w:eastAsiaTheme="minorEastAsia" w:cstheme="minorEastAsia"/>
                <w:kern w:val="0"/>
              </w:rPr>
            </w:pPr>
          </w:p>
        </w:tc>
        <w:tc>
          <w:tcPr>
            <w:tcW w:w="1843" w:type="dxa"/>
            <w:tcBorders>
              <w:tl2br w:val="nil"/>
              <w:tr2bl w:val="nil"/>
            </w:tcBorders>
            <w:noWrap w:val="0"/>
            <w:vAlign w:val="center"/>
          </w:tcPr>
          <w:p>
            <w:pPr>
              <w:widowControl/>
              <w:spacing w:line="360" w:lineRule="auto"/>
              <w:jc w:val="center"/>
              <w:rPr>
                <w:rFonts w:hint="eastAsia" w:asciiTheme="minorEastAsia" w:hAnsiTheme="minorEastAsia" w:eastAsiaTheme="minorEastAsia" w:cstheme="minorEastAsia"/>
                <w:kern w:val="0"/>
              </w:rPr>
            </w:pPr>
          </w:p>
        </w:tc>
      </w:tr>
    </w:tbl>
    <w:p>
      <w:pPr>
        <w:pStyle w:val="3"/>
        <w:numPr>
          <w:ilvl w:val="0"/>
          <w:numId w:val="0"/>
        </w:numPr>
        <w:rPr>
          <w:rFonts w:hint="default" w:ascii="Times New Roman" w:hAnsi="Times New Roman" w:cs="Times New Roman"/>
        </w:rPr>
        <w:sectPr>
          <w:headerReference r:id="rId7" w:type="default"/>
          <w:footerReference r:id="rId8" w:type="default"/>
          <w:footerReference r:id="rId9" w:type="even"/>
          <w:pgSz w:w="11906" w:h="16838"/>
          <w:pgMar w:top="1246" w:right="1800" w:bottom="1440" w:left="1800" w:header="851" w:footer="992" w:gutter="0"/>
          <w:pgBorders>
            <w:top w:val="none" w:sz="0" w:space="0"/>
            <w:left w:val="none" w:sz="0" w:space="0"/>
            <w:bottom w:val="none" w:sz="0" w:space="0"/>
            <w:right w:val="none" w:sz="0" w:space="0"/>
          </w:pgBorders>
          <w:pgNumType w:fmt="decimal" w:start="1"/>
          <w:cols w:space="720" w:num="1"/>
          <w:docGrid w:type="lines" w:linePitch="312" w:charSpace="0"/>
        </w:sectPr>
      </w:pPr>
      <w:bookmarkStart w:id="32" w:name="_Toc2850"/>
      <w:bookmarkEnd w:id="32"/>
      <w:bookmarkStart w:id="33" w:name="_Toc29494"/>
      <w:bookmarkEnd w:id="33"/>
      <w:bookmarkStart w:id="34" w:name="_Toc13301"/>
      <w:bookmarkEnd w:id="34"/>
      <w:bookmarkStart w:id="35" w:name="_Toc4567"/>
      <w:bookmarkEnd w:id="35"/>
      <w:bookmarkStart w:id="36" w:name="_Toc19898"/>
      <w:bookmarkEnd w:id="36"/>
      <w:bookmarkStart w:id="37" w:name="_Toc11076"/>
      <w:bookmarkEnd w:id="37"/>
      <w:bookmarkStart w:id="38" w:name="_Toc420070196"/>
      <w:bookmarkEnd w:id="38"/>
      <w:bookmarkStart w:id="39" w:name="_Toc32236"/>
      <w:bookmarkEnd w:id="39"/>
      <w:bookmarkStart w:id="40" w:name="_Toc15235"/>
      <w:bookmarkEnd w:id="40"/>
      <w:bookmarkStart w:id="41" w:name="_Toc27469"/>
      <w:bookmarkEnd w:id="41"/>
      <w:bookmarkStart w:id="42" w:name="_Toc22592"/>
      <w:bookmarkEnd w:id="42"/>
      <w:bookmarkStart w:id="43" w:name="_Toc17196"/>
      <w:bookmarkEnd w:id="43"/>
      <w:bookmarkStart w:id="44" w:name="_Toc24344"/>
      <w:bookmarkEnd w:id="44"/>
      <w:bookmarkStart w:id="45" w:name="_Toc31681"/>
      <w:bookmarkEnd w:id="45"/>
      <w:bookmarkStart w:id="46" w:name="_Toc2562"/>
      <w:bookmarkEnd w:id="46"/>
      <w:bookmarkStart w:id="47" w:name="_Toc2919"/>
      <w:bookmarkEnd w:id="47"/>
      <w:bookmarkStart w:id="48" w:name="_Toc24383"/>
      <w:bookmarkEnd w:id="48"/>
      <w:bookmarkStart w:id="49" w:name="_Toc18084"/>
      <w:bookmarkEnd w:id="49"/>
      <w:bookmarkStart w:id="50" w:name="_Toc24437"/>
      <w:bookmarkEnd w:id="50"/>
      <w:bookmarkStart w:id="51" w:name="_Toc17703"/>
      <w:bookmarkEnd w:id="51"/>
      <w:bookmarkStart w:id="52" w:name="_Toc19425"/>
      <w:bookmarkEnd w:id="52"/>
      <w:bookmarkStart w:id="53" w:name="_Toc4956"/>
      <w:bookmarkEnd w:id="53"/>
      <w:bookmarkStart w:id="54" w:name="_Toc14416"/>
      <w:bookmarkEnd w:id="54"/>
      <w:bookmarkStart w:id="55" w:name="_Toc10291"/>
      <w:bookmarkEnd w:id="55"/>
      <w:bookmarkStart w:id="56" w:name="_Toc8295"/>
      <w:bookmarkEnd w:id="56"/>
      <w:bookmarkStart w:id="57" w:name="_Toc13214"/>
      <w:bookmarkEnd w:id="57"/>
      <w:bookmarkStart w:id="58" w:name="_Toc22611"/>
      <w:bookmarkEnd w:id="58"/>
      <w:bookmarkStart w:id="59" w:name="_Toc15610"/>
      <w:bookmarkEnd w:id="59"/>
      <w:bookmarkStart w:id="60" w:name="_Toc21040"/>
      <w:bookmarkEnd w:id="60"/>
      <w:bookmarkStart w:id="61" w:name="_Toc13294"/>
      <w:bookmarkEnd w:id="61"/>
      <w:bookmarkStart w:id="62" w:name="_Toc19602"/>
      <w:bookmarkEnd w:id="62"/>
      <w:bookmarkStart w:id="63" w:name="_Toc12187"/>
      <w:bookmarkEnd w:id="63"/>
      <w:bookmarkStart w:id="64" w:name="_Toc19845"/>
      <w:bookmarkEnd w:id="64"/>
      <w:bookmarkStart w:id="65" w:name="_Toc420070198"/>
      <w:bookmarkEnd w:id="65"/>
      <w:bookmarkStart w:id="66" w:name="_Toc25586"/>
      <w:bookmarkEnd w:id="66"/>
      <w:bookmarkStart w:id="67" w:name="_Toc6151"/>
      <w:bookmarkEnd w:id="67"/>
      <w:bookmarkStart w:id="68" w:name="_Toc19702"/>
      <w:bookmarkEnd w:id="68"/>
      <w:bookmarkStart w:id="69" w:name="_Toc7382"/>
      <w:bookmarkEnd w:id="69"/>
      <w:bookmarkStart w:id="70" w:name="_Toc14582"/>
      <w:bookmarkEnd w:id="70"/>
      <w:bookmarkStart w:id="71" w:name="_Toc420070201"/>
      <w:bookmarkEnd w:id="71"/>
      <w:bookmarkStart w:id="72" w:name="_Toc27251"/>
      <w:bookmarkEnd w:id="72"/>
      <w:bookmarkStart w:id="73" w:name="_Toc4485"/>
      <w:bookmarkEnd w:id="73"/>
      <w:bookmarkStart w:id="74" w:name="_Toc6144"/>
      <w:bookmarkEnd w:id="74"/>
      <w:bookmarkStart w:id="75" w:name="_Toc13256"/>
      <w:bookmarkEnd w:id="75"/>
      <w:bookmarkStart w:id="76" w:name="_Toc26698"/>
      <w:bookmarkEnd w:id="76"/>
      <w:bookmarkStart w:id="77" w:name="_Toc14023"/>
      <w:bookmarkEnd w:id="77"/>
      <w:bookmarkStart w:id="78" w:name="_Toc15617"/>
      <w:bookmarkEnd w:id="78"/>
      <w:bookmarkStart w:id="79" w:name="_Toc22799"/>
      <w:bookmarkEnd w:id="79"/>
      <w:bookmarkStart w:id="80" w:name="_Toc18458"/>
      <w:bookmarkEnd w:id="80"/>
      <w:bookmarkStart w:id="81" w:name="_Toc420070202"/>
      <w:bookmarkEnd w:id="81"/>
      <w:bookmarkStart w:id="82" w:name="_Toc28853"/>
      <w:bookmarkEnd w:id="82"/>
      <w:bookmarkStart w:id="83" w:name="_Toc13068"/>
      <w:bookmarkEnd w:id="83"/>
      <w:bookmarkStart w:id="84" w:name="_Toc20448"/>
      <w:bookmarkEnd w:id="84"/>
      <w:bookmarkStart w:id="85" w:name="_Toc29679"/>
      <w:bookmarkEnd w:id="85"/>
      <w:bookmarkStart w:id="86" w:name="_Toc1536"/>
      <w:bookmarkEnd w:id="86"/>
      <w:bookmarkStart w:id="87" w:name="_Toc27321"/>
      <w:bookmarkEnd w:id="87"/>
      <w:bookmarkStart w:id="88" w:name="_Toc420070197"/>
      <w:bookmarkEnd w:id="88"/>
      <w:bookmarkStart w:id="89" w:name="_Toc420070199"/>
      <w:bookmarkEnd w:id="89"/>
      <w:bookmarkStart w:id="90" w:name="_Toc24022"/>
      <w:bookmarkEnd w:id="90"/>
      <w:bookmarkStart w:id="91" w:name="_Toc1542"/>
      <w:bookmarkEnd w:id="91"/>
      <w:bookmarkStart w:id="92" w:name="_Toc27125"/>
      <w:bookmarkEnd w:id="92"/>
      <w:bookmarkStart w:id="93" w:name="_Toc420070200"/>
      <w:bookmarkEnd w:id="93"/>
      <w:bookmarkStart w:id="94" w:name="_Toc9282"/>
      <w:bookmarkEnd w:id="94"/>
      <w:bookmarkStart w:id="95" w:name="_Toc14568"/>
      <w:bookmarkEnd w:id="95"/>
      <w:bookmarkStart w:id="96" w:name="_Toc22959"/>
      <w:bookmarkEnd w:id="96"/>
      <w:bookmarkStart w:id="97" w:name="_Toc70302700"/>
      <w:bookmarkEnd w:id="97"/>
      <w:bookmarkStart w:id="98" w:name="_Toc28633"/>
      <w:bookmarkEnd w:id="98"/>
      <w:bookmarkStart w:id="99" w:name="_Toc5151"/>
      <w:bookmarkEnd w:id="99"/>
      <w:bookmarkStart w:id="100" w:name="_Toc22596"/>
      <w:bookmarkEnd w:id="100"/>
      <w:bookmarkStart w:id="101" w:name="_Toc521"/>
      <w:bookmarkEnd w:id="101"/>
      <w:bookmarkStart w:id="102" w:name="_Toc26907"/>
      <w:bookmarkEnd w:id="102"/>
      <w:bookmarkStart w:id="103" w:name="_Toc18126"/>
      <w:bookmarkEnd w:id="103"/>
      <w:bookmarkStart w:id="104" w:name="_Toc16236"/>
      <w:bookmarkEnd w:id="104"/>
      <w:bookmarkStart w:id="105" w:name="_Toc98816885"/>
      <w:bookmarkEnd w:id="105"/>
      <w:bookmarkStart w:id="106" w:name="_Toc452383285"/>
      <w:bookmarkEnd w:id="106"/>
      <w:bookmarkStart w:id="107" w:name="_Toc260389831"/>
      <w:bookmarkEnd w:id="107"/>
      <w:bookmarkStart w:id="108" w:name="_Toc29708"/>
      <w:bookmarkEnd w:id="108"/>
      <w:bookmarkStart w:id="109" w:name="_Toc2399"/>
      <w:bookmarkEnd w:id="109"/>
    </w:p>
    <w:p>
      <w:pPr>
        <w:pStyle w:val="3"/>
        <w:numPr>
          <w:ilvl w:val="0"/>
          <w:numId w:val="0"/>
        </w:numPr>
        <w:tabs>
          <w:tab w:val="left" w:pos="322"/>
        </w:tabs>
        <w:snapToGrid w:val="0"/>
        <w:spacing w:before="120" w:beforeLines="0" w:after="0" w:afterLines="0" w:line="360" w:lineRule="auto"/>
        <w:ind w:left="420" w:leftChars="0"/>
        <w:jc w:val="left"/>
        <w:textAlignment w:val="auto"/>
        <w:outlineLvl w:val="0"/>
        <w:rPr>
          <w:rFonts w:hint="default" w:ascii="Times New Roman" w:hAnsi="Times New Roman" w:eastAsia="黑体" w:cs="Times New Roman"/>
          <w:b w:val="0"/>
          <w:sz w:val="30"/>
          <w:szCs w:val="30"/>
          <w:lang w:val="en-US" w:eastAsia="zh-CN"/>
        </w:rPr>
      </w:pPr>
      <w:bookmarkStart w:id="110" w:name="_Toc505335470"/>
      <w:bookmarkStart w:id="111" w:name="_Toc7558"/>
      <w:bookmarkStart w:id="112" w:name="_Toc21258"/>
      <w:bookmarkStart w:id="113" w:name="_Toc10667"/>
      <w:bookmarkStart w:id="114" w:name="_Toc11266_WPSOffice_Level1"/>
      <w:bookmarkStart w:id="115" w:name="_Toc25300"/>
      <w:r>
        <w:rPr>
          <w:rFonts w:hint="default" w:ascii="Times New Roman" w:hAnsi="Times New Roman" w:eastAsia="黑体" w:cs="Times New Roman"/>
          <w:b w:val="0"/>
          <w:sz w:val="30"/>
          <w:szCs w:val="30"/>
          <w:lang w:val="en-US" w:eastAsia="zh-CN"/>
        </w:rPr>
        <w:t>附件</w:t>
      </w:r>
      <w:r>
        <w:rPr>
          <w:rFonts w:hint="eastAsia" w:eastAsia="黑体" w:cs="Times New Roman"/>
          <w:b w:val="0"/>
          <w:sz w:val="30"/>
          <w:szCs w:val="30"/>
          <w:lang w:val="en-US" w:eastAsia="zh-CN"/>
        </w:rPr>
        <w:t>1</w:t>
      </w:r>
      <w:r>
        <w:rPr>
          <w:rFonts w:hint="default" w:ascii="Times New Roman" w:hAnsi="Times New Roman" w:eastAsia="黑体" w:cs="Times New Roman"/>
          <w:b w:val="0"/>
          <w:sz w:val="30"/>
          <w:szCs w:val="30"/>
          <w:lang w:val="en-US" w:eastAsia="zh-CN"/>
        </w:rPr>
        <w:t>：检修质量、进度考核实施细则</w:t>
      </w:r>
      <w:bookmarkEnd w:id="110"/>
      <w:bookmarkEnd w:id="111"/>
      <w:bookmarkEnd w:id="112"/>
      <w:bookmarkEnd w:id="113"/>
      <w:bookmarkEnd w:id="114"/>
      <w:bookmarkEnd w:id="115"/>
    </w:p>
    <w:p>
      <w:pPr>
        <w:spacing w:before="156" w:beforeLines="50" w:after="156" w:afterLines="50"/>
        <w:ind w:firstLine="4145" w:firstLineChars="1147"/>
        <w:rPr>
          <w:rFonts w:hint="default" w:ascii="Times New Roman" w:hAnsi="Times New Roman" w:cs="Times New Roman"/>
          <w:b/>
          <w:bCs/>
          <w:color w:val="000000"/>
          <w:sz w:val="36"/>
          <w:szCs w:val="36"/>
        </w:rPr>
      </w:pPr>
      <w:bookmarkStart w:id="116" w:name="_Toc3165_WPSOffice_Level1"/>
      <w:r>
        <w:rPr>
          <w:rFonts w:hint="default" w:ascii="Times New Roman" w:hAnsi="Times New Roman" w:cs="Times New Roman"/>
          <w:b/>
          <w:bCs/>
          <w:color w:val="000000"/>
          <w:sz w:val="36"/>
          <w:szCs w:val="36"/>
        </w:rPr>
        <w:t>检修质量、进度考核实施细则</w:t>
      </w:r>
      <w:bookmarkEnd w:id="116"/>
    </w:p>
    <w:tbl>
      <w:tblPr>
        <w:tblStyle w:val="13"/>
        <w:tblW w:w="0" w:type="auto"/>
        <w:jc w:val="center"/>
        <w:tblLayout w:type="fixed"/>
        <w:tblCellMar>
          <w:top w:w="0" w:type="dxa"/>
          <w:left w:w="108" w:type="dxa"/>
          <w:bottom w:w="0" w:type="dxa"/>
          <w:right w:w="108" w:type="dxa"/>
        </w:tblCellMar>
      </w:tblPr>
      <w:tblGrid>
        <w:gridCol w:w="883"/>
        <w:gridCol w:w="3040"/>
        <w:gridCol w:w="3288"/>
        <w:gridCol w:w="2736"/>
        <w:gridCol w:w="2014"/>
        <w:gridCol w:w="1983"/>
      </w:tblGrid>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序号</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考核内容</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考核标准</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被考核部门</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部门扣奖</w:t>
            </w:r>
          </w:p>
        </w:tc>
        <w:tc>
          <w:tcPr>
            <w:tcW w:w="19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考核部门</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1</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修前管理</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p>
        </w:tc>
        <w:tc>
          <w:tcPr>
            <w:tcW w:w="19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1.1</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主要材料、备品未按时到货</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000000"/>
                <w:sz w:val="18"/>
                <w:szCs w:val="18"/>
                <w:lang w:val="en-US" w:eastAsia="zh-CN"/>
              </w:rPr>
            </w:pPr>
            <w:r>
              <w:rPr>
                <w:rFonts w:hint="default" w:ascii="Times New Roman" w:hAnsi="Times New Roman" w:cs="Times New Roman"/>
                <w:color w:val="000000"/>
                <w:sz w:val="18"/>
                <w:szCs w:val="18"/>
              </w:rPr>
              <w:t>开工前到货验收</w:t>
            </w:r>
            <w:r>
              <w:rPr>
                <w:rFonts w:hint="default" w:ascii="Times New Roman" w:hAnsi="Times New Roman" w:cs="Times New Roman"/>
                <w:color w:val="000000"/>
                <w:sz w:val="18"/>
                <w:szCs w:val="18"/>
                <w:lang w:val="en-US" w:eastAsia="zh-CN"/>
              </w:rPr>
              <w:t>合格</w:t>
            </w:r>
          </w:p>
        </w:tc>
        <w:tc>
          <w:tcPr>
            <w:tcW w:w="2736"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000000"/>
                <w:sz w:val="18"/>
                <w:szCs w:val="18"/>
                <w:lang w:val="en-US" w:eastAsia="zh-CN"/>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每项扣200元</w:t>
            </w:r>
          </w:p>
        </w:tc>
        <w:tc>
          <w:tcPr>
            <w:tcW w:w="19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1.2</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产品无“三证”</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无“三证”产品不能使用</w:t>
            </w:r>
          </w:p>
        </w:tc>
        <w:tc>
          <w:tcPr>
            <w:tcW w:w="2736"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000000"/>
                <w:sz w:val="18"/>
                <w:szCs w:val="18"/>
                <w:lang w:val="en-US" w:eastAsia="zh-CN"/>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每项扣500元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1.3</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未经验收即领用</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领用前必须验收合格</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000000"/>
                <w:sz w:val="18"/>
                <w:szCs w:val="18"/>
                <w:lang w:eastAsia="zh-CN"/>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w:t>
            </w:r>
            <w:r>
              <w:rPr>
                <w:rFonts w:hint="default" w:ascii="Times New Roman" w:hAnsi="Times New Roman" w:cs="Times New Roman"/>
                <w:color w:val="000000"/>
                <w:sz w:val="18"/>
                <w:szCs w:val="18"/>
                <w:lang w:val="en-US" w:eastAsia="zh-CN"/>
              </w:rPr>
              <w:t>5</w:t>
            </w:r>
            <w:r>
              <w:rPr>
                <w:rFonts w:hint="default" w:ascii="Times New Roman" w:hAnsi="Times New Roman" w:cs="Times New Roman"/>
                <w:color w:val="000000"/>
                <w:sz w:val="18"/>
                <w:szCs w:val="18"/>
              </w:rPr>
              <w:t>00元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1.4</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耐磨件、保温材料</w:t>
            </w:r>
            <w:r>
              <w:rPr>
                <w:rFonts w:hint="default" w:ascii="Times New Roman" w:hAnsi="Times New Roman" w:cs="Times New Roman"/>
                <w:color w:val="000000"/>
                <w:sz w:val="18"/>
                <w:szCs w:val="18"/>
                <w:lang w:val="en-US" w:eastAsia="zh-CN"/>
              </w:rPr>
              <w:t>等</w:t>
            </w:r>
            <w:r>
              <w:rPr>
                <w:rFonts w:hint="default" w:ascii="Times New Roman" w:hAnsi="Times New Roman" w:cs="Times New Roman"/>
                <w:color w:val="000000"/>
                <w:sz w:val="18"/>
                <w:szCs w:val="18"/>
              </w:rPr>
              <w:t>未取样化验</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必须取样化验合格后方能使用</w:t>
            </w:r>
          </w:p>
        </w:tc>
        <w:tc>
          <w:tcPr>
            <w:tcW w:w="2736"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000000"/>
                <w:sz w:val="18"/>
                <w:szCs w:val="18"/>
                <w:lang w:eastAsia="zh-CN"/>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w:t>
            </w:r>
            <w:r>
              <w:rPr>
                <w:rFonts w:hint="default" w:ascii="Times New Roman" w:hAnsi="Times New Roman" w:cs="Times New Roman"/>
                <w:color w:val="000000"/>
                <w:sz w:val="18"/>
                <w:szCs w:val="18"/>
                <w:lang w:val="en-US" w:eastAsia="zh-CN"/>
              </w:rPr>
              <w:t>5</w:t>
            </w:r>
            <w:r>
              <w:rPr>
                <w:rFonts w:hint="default" w:ascii="Times New Roman" w:hAnsi="Times New Roman" w:cs="Times New Roman"/>
                <w:color w:val="000000"/>
                <w:sz w:val="18"/>
                <w:szCs w:val="18"/>
              </w:rPr>
              <w:t>00元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1.5</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新材料、新产品使用前未经鉴定批准</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使用前必须鉴定并经有关部门批准</w:t>
            </w:r>
          </w:p>
        </w:tc>
        <w:tc>
          <w:tcPr>
            <w:tcW w:w="2736"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lang w:val="en-US"/>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每项扣500元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1.6</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工器具未到位</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开工</w:t>
            </w:r>
            <w:r>
              <w:rPr>
                <w:rFonts w:hint="default" w:ascii="Times New Roman" w:hAnsi="Times New Roman" w:cs="Times New Roman"/>
                <w:color w:val="000000"/>
                <w:sz w:val="18"/>
                <w:szCs w:val="18"/>
              </w:rPr>
              <w:t>前应到场</w:t>
            </w:r>
          </w:p>
        </w:tc>
        <w:tc>
          <w:tcPr>
            <w:tcW w:w="2736"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每项扣500元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1.7</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测量工具未经有关部门标定</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必须经有关部门标定，并在有效期内</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每项扣200元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1.8</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专用工具未检查或修理</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专用工具在修前必须检查验收合格</w:t>
            </w:r>
          </w:p>
        </w:tc>
        <w:tc>
          <w:tcPr>
            <w:tcW w:w="2736"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w:t>
            </w:r>
            <w:r>
              <w:rPr>
                <w:rFonts w:hint="default" w:ascii="Times New Roman" w:hAnsi="Times New Roman" w:cs="Times New Roman"/>
                <w:color w:val="000000"/>
                <w:sz w:val="18"/>
                <w:szCs w:val="18"/>
                <w:lang w:val="en-US" w:eastAsia="zh-CN"/>
              </w:rPr>
              <w:t>5</w:t>
            </w:r>
            <w:r>
              <w:rPr>
                <w:rFonts w:hint="default" w:ascii="Times New Roman" w:hAnsi="Times New Roman" w:cs="Times New Roman"/>
                <w:color w:val="000000"/>
                <w:sz w:val="18"/>
                <w:szCs w:val="18"/>
              </w:rPr>
              <w:t>00元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1.9</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起重工具未进行检查验收</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必须检查验收合格</w:t>
            </w:r>
          </w:p>
        </w:tc>
        <w:tc>
          <w:tcPr>
            <w:tcW w:w="2736"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w:t>
            </w:r>
            <w:r>
              <w:rPr>
                <w:rFonts w:hint="default" w:ascii="Times New Roman" w:hAnsi="Times New Roman" w:cs="Times New Roman"/>
                <w:color w:val="000000"/>
                <w:sz w:val="18"/>
                <w:szCs w:val="18"/>
                <w:lang w:val="en-US" w:eastAsia="zh-CN"/>
              </w:rPr>
              <w:t>5</w:t>
            </w:r>
            <w:r>
              <w:rPr>
                <w:rFonts w:hint="default" w:ascii="Times New Roman" w:hAnsi="Times New Roman" w:cs="Times New Roman"/>
                <w:color w:val="000000"/>
                <w:sz w:val="18"/>
                <w:szCs w:val="18"/>
              </w:rPr>
              <w:t>00元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1.10</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安全带未做拉力试验</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必须全面检查，并做拉力试验</w:t>
            </w:r>
          </w:p>
        </w:tc>
        <w:tc>
          <w:tcPr>
            <w:tcW w:w="2736"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w:t>
            </w:r>
            <w:r>
              <w:rPr>
                <w:rFonts w:hint="default" w:ascii="Times New Roman" w:hAnsi="Times New Roman" w:cs="Times New Roman"/>
                <w:color w:val="000000"/>
                <w:sz w:val="18"/>
                <w:szCs w:val="18"/>
                <w:lang w:val="en-US" w:eastAsia="zh-CN"/>
              </w:rPr>
              <w:t>2</w:t>
            </w:r>
            <w:r>
              <w:rPr>
                <w:rFonts w:hint="default" w:ascii="Times New Roman" w:hAnsi="Times New Roman" w:cs="Times New Roman"/>
                <w:color w:val="000000"/>
                <w:sz w:val="18"/>
                <w:szCs w:val="18"/>
              </w:rPr>
              <w:t>00元</w:t>
            </w:r>
          </w:p>
        </w:tc>
        <w:tc>
          <w:tcPr>
            <w:tcW w:w="19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highlight w:val="none"/>
              </w:rPr>
            </w:pPr>
            <w:r>
              <w:rPr>
                <w:rFonts w:hint="default" w:ascii="Times New Roman" w:hAnsi="Times New Roman" w:cs="Times New Roman"/>
                <w:color w:val="000000"/>
                <w:sz w:val="18"/>
                <w:szCs w:val="18"/>
                <w:highlight w:val="none"/>
              </w:rPr>
              <w:t>安全</w:t>
            </w:r>
            <w:r>
              <w:rPr>
                <w:rFonts w:hint="default" w:ascii="Times New Roman" w:hAnsi="Times New Roman" w:cs="Times New Roman"/>
                <w:color w:val="000000"/>
                <w:sz w:val="18"/>
                <w:szCs w:val="18"/>
                <w:highlight w:val="none"/>
                <w:lang w:val="en-US" w:eastAsia="zh-CN"/>
              </w:rPr>
              <w:t>健康环保监</w:t>
            </w:r>
            <w:r>
              <w:rPr>
                <w:rFonts w:hint="default" w:ascii="Times New Roman" w:hAnsi="Times New Roman" w:cs="Times New Roman"/>
                <w:color w:val="000000"/>
                <w:sz w:val="18"/>
                <w:szCs w:val="18"/>
                <w:highlight w:val="none"/>
              </w:rPr>
              <w:t>察部</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1.11</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电动工具未经检查试验</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必须检查试验合格</w:t>
            </w:r>
          </w:p>
        </w:tc>
        <w:tc>
          <w:tcPr>
            <w:tcW w:w="2736"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每项扣500元</w:t>
            </w:r>
          </w:p>
        </w:tc>
        <w:tc>
          <w:tcPr>
            <w:tcW w:w="19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highlight w:val="none"/>
              </w:rPr>
            </w:pPr>
            <w:r>
              <w:rPr>
                <w:rFonts w:hint="default" w:ascii="Times New Roman" w:hAnsi="Times New Roman" w:cs="Times New Roman"/>
                <w:color w:val="000000"/>
                <w:sz w:val="18"/>
                <w:szCs w:val="18"/>
                <w:highlight w:val="none"/>
              </w:rPr>
              <w:t>安全</w:t>
            </w:r>
            <w:r>
              <w:rPr>
                <w:rFonts w:hint="default" w:ascii="Times New Roman" w:hAnsi="Times New Roman" w:cs="Times New Roman"/>
                <w:color w:val="000000"/>
                <w:sz w:val="18"/>
                <w:szCs w:val="18"/>
                <w:highlight w:val="none"/>
                <w:lang w:val="en-US" w:eastAsia="zh-CN"/>
              </w:rPr>
              <w:t>健康环保监</w:t>
            </w:r>
            <w:r>
              <w:rPr>
                <w:rFonts w:hint="default" w:ascii="Times New Roman" w:hAnsi="Times New Roman" w:cs="Times New Roman"/>
                <w:color w:val="000000"/>
                <w:sz w:val="18"/>
                <w:szCs w:val="18"/>
                <w:highlight w:val="none"/>
              </w:rPr>
              <w:t>察部</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1.12</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000000"/>
                <w:sz w:val="18"/>
                <w:szCs w:val="18"/>
                <w:lang w:eastAsia="zh-CN"/>
              </w:rPr>
            </w:pPr>
            <w:r>
              <w:rPr>
                <w:rFonts w:hint="default" w:ascii="Times New Roman" w:hAnsi="Times New Roman" w:cs="Times New Roman"/>
                <w:color w:val="000000"/>
                <w:sz w:val="18"/>
                <w:szCs w:val="18"/>
                <w:lang w:val="en-US" w:eastAsia="zh-CN"/>
              </w:rPr>
              <w:t>使用</w:t>
            </w:r>
            <w:r>
              <w:rPr>
                <w:rFonts w:hint="default" w:ascii="Times New Roman" w:hAnsi="Times New Roman" w:cs="Times New Roman"/>
                <w:color w:val="000000"/>
                <w:sz w:val="18"/>
                <w:szCs w:val="18"/>
              </w:rPr>
              <w:t>锅炉房电梯未做全面检查</w:t>
            </w:r>
            <w:r>
              <w:rPr>
                <w:rFonts w:hint="default" w:ascii="Times New Roman" w:hAnsi="Times New Roman" w:cs="Times New Roman"/>
                <w:color w:val="000000"/>
                <w:sz w:val="18"/>
                <w:szCs w:val="18"/>
                <w:lang w:eastAsia="zh-CN"/>
              </w:rPr>
              <w:t>、无故不遵守指挥部安排参与电梯轮值</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000000"/>
                <w:sz w:val="18"/>
                <w:szCs w:val="18"/>
                <w:lang w:eastAsia="zh-CN"/>
              </w:rPr>
            </w:pPr>
            <w:r>
              <w:rPr>
                <w:rFonts w:hint="default" w:ascii="Times New Roman" w:hAnsi="Times New Roman" w:cs="Times New Roman"/>
                <w:color w:val="000000"/>
                <w:sz w:val="18"/>
                <w:szCs w:val="18"/>
              </w:rPr>
              <w:t>必须进行全面检查，能安全可靠运行</w:t>
            </w:r>
            <w:r>
              <w:rPr>
                <w:rFonts w:hint="default" w:ascii="Times New Roman" w:hAnsi="Times New Roman" w:cs="Times New Roman"/>
                <w:color w:val="000000"/>
                <w:sz w:val="18"/>
                <w:szCs w:val="18"/>
                <w:lang w:eastAsia="zh-CN"/>
              </w:rPr>
              <w:t>；电梯轮值期间，确保值班人员按时到岗，期间不擅自离岗</w:t>
            </w:r>
          </w:p>
        </w:tc>
        <w:tc>
          <w:tcPr>
            <w:tcW w:w="2736"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损坏一次扣1000元</w:t>
            </w:r>
          </w:p>
        </w:tc>
        <w:tc>
          <w:tcPr>
            <w:tcW w:w="19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highlight w:val="none"/>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highlight w:val="none"/>
              </w:rPr>
              <w:t>安全</w:t>
            </w:r>
            <w:r>
              <w:rPr>
                <w:rFonts w:hint="default" w:ascii="Times New Roman" w:hAnsi="Times New Roman" w:cs="Times New Roman"/>
                <w:color w:val="000000"/>
                <w:sz w:val="18"/>
                <w:szCs w:val="18"/>
                <w:highlight w:val="none"/>
                <w:lang w:val="en-US" w:eastAsia="zh-CN"/>
              </w:rPr>
              <w:t>健康环保监</w:t>
            </w:r>
            <w:r>
              <w:rPr>
                <w:rFonts w:hint="default" w:ascii="Times New Roman" w:hAnsi="Times New Roman" w:cs="Times New Roman"/>
                <w:color w:val="000000"/>
                <w:sz w:val="18"/>
                <w:szCs w:val="18"/>
                <w:highlight w:val="none"/>
              </w:rPr>
              <w:t>察部</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1.13</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主要项目、特殊项目、技改项目无施工方案</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开工前须审批</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每项扣500元</w:t>
            </w:r>
          </w:p>
        </w:tc>
        <w:tc>
          <w:tcPr>
            <w:tcW w:w="19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1.14</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未办理进场开工手续</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经各部门审批</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扣1000元</w:t>
            </w:r>
          </w:p>
        </w:tc>
        <w:tc>
          <w:tcPr>
            <w:tcW w:w="19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1.15</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000000"/>
                <w:sz w:val="18"/>
                <w:szCs w:val="18"/>
                <w:lang w:val="en-US" w:eastAsia="zh-CN"/>
              </w:rPr>
            </w:pPr>
            <w:r>
              <w:rPr>
                <w:rFonts w:hint="default" w:ascii="Times New Roman" w:hAnsi="Times New Roman" w:cs="Times New Roman"/>
                <w:color w:val="000000"/>
                <w:sz w:val="18"/>
                <w:szCs w:val="18"/>
              </w:rPr>
              <w:t>项目经理及技术人员未到位</w:t>
            </w:r>
            <w:r>
              <w:rPr>
                <w:rFonts w:hint="default" w:ascii="Times New Roman" w:hAnsi="Times New Roman" w:cs="Times New Roman"/>
                <w:color w:val="000000"/>
                <w:sz w:val="18"/>
                <w:szCs w:val="18"/>
                <w:lang w:val="en-US" w:eastAsia="zh-CN"/>
              </w:rPr>
              <w:t>或与合同约定不一致</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按合同约定</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项目经理非合同约定，或无相应资质，扣1万元；主要技术人员未到位，缺1人扣2000元</w:t>
            </w:r>
          </w:p>
        </w:tc>
        <w:tc>
          <w:tcPr>
            <w:tcW w:w="19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1.16</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施工</w:t>
            </w:r>
            <w:r>
              <w:rPr>
                <w:rFonts w:hint="default" w:ascii="Times New Roman" w:hAnsi="Times New Roman" w:cs="Times New Roman"/>
                <w:color w:val="000000"/>
                <w:sz w:val="18"/>
                <w:szCs w:val="18"/>
              </w:rPr>
              <w:t>人员不到位</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人员应按合同约定到齐</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缺1人，考核500元</w:t>
            </w:r>
          </w:p>
        </w:tc>
        <w:tc>
          <w:tcPr>
            <w:tcW w:w="19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1.17</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未按时进场开工</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按时开工</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每迟1天，考核5000元</w:t>
            </w:r>
          </w:p>
        </w:tc>
        <w:tc>
          <w:tcPr>
            <w:tcW w:w="19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1.18</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工作票办理不及时</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000000"/>
                <w:sz w:val="18"/>
                <w:szCs w:val="18"/>
                <w:lang w:val="en-US" w:eastAsia="zh-CN"/>
              </w:rPr>
            </w:pPr>
            <w:r>
              <w:rPr>
                <w:rFonts w:hint="default" w:ascii="Times New Roman" w:hAnsi="Times New Roman" w:cs="Times New Roman"/>
                <w:color w:val="000000"/>
                <w:sz w:val="18"/>
                <w:szCs w:val="18"/>
                <w:lang w:val="en-US" w:eastAsia="zh-CN"/>
              </w:rPr>
              <w:t>按时开工</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每项扣500元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2</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修中管理</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p>
        </w:tc>
        <w:tc>
          <w:tcPr>
            <w:tcW w:w="19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2.1</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项目管理</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p>
        </w:tc>
        <w:tc>
          <w:tcPr>
            <w:tcW w:w="19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2.1.1</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标准、非标、技改、技术监督、反措等项目漏项</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以对应的项目计划为准</w:t>
            </w:r>
          </w:p>
        </w:tc>
        <w:tc>
          <w:tcPr>
            <w:tcW w:w="2736"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每项扣500元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2.1.2</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质检项目漏项</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以项目计划为准</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w:t>
            </w:r>
            <w:r>
              <w:rPr>
                <w:rFonts w:hint="default" w:ascii="Times New Roman" w:hAnsi="Times New Roman" w:cs="Times New Roman"/>
                <w:color w:val="000000"/>
                <w:sz w:val="18"/>
                <w:szCs w:val="18"/>
                <w:lang w:val="en-US" w:eastAsia="zh-CN"/>
              </w:rPr>
              <w:t>2</w:t>
            </w:r>
            <w:r>
              <w:rPr>
                <w:rFonts w:hint="default" w:ascii="Times New Roman" w:hAnsi="Times New Roman" w:cs="Times New Roman"/>
                <w:color w:val="000000"/>
                <w:sz w:val="18"/>
                <w:szCs w:val="18"/>
              </w:rPr>
              <w:t>00元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2.1.3</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进口设备备品不落实而解体</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备品不落实不能解体</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每项扣500-2000元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2.1.4</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应申办异动申请而未办理或申请未经批准即开工</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设备异动前应办理异动申请并经批准</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每项扣1000元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18"/>
                <w:szCs w:val="18"/>
                <w:lang w:val="en-US" w:eastAsia="zh-CN"/>
              </w:rPr>
            </w:pPr>
            <w:r>
              <w:rPr>
                <w:rFonts w:hint="default" w:ascii="Times New Roman" w:hAnsi="Times New Roman" w:cs="Times New Roman"/>
                <w:color w:val="000000"/>
                <w:sz w:val="18"/>
                <w:szCs w:val="18"/>
                <w:lang w:val="en-US" w:eastAsia="zh-CN"/>
              </w:rPr>
              <w:t>2.1.5</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000000"/>
                <w:sz w:val="18"/>
                <w:szCs w:val="18"/>
                <w:lang w:eastAsia="zh-CN"/>
              </w:rPr>
            </w:pPr>
            <w:r>
              <w:rPr>
                <w:rFonts w:hint="default" w:ascii="Times New Roman" w:hAnsi="Times New Roman" w:cs="Times New Roman"/>
                <w:color w:val="000000"/>
                <w:sz w:val="18"/>
                <w:szCs w:val="18"/>
                <w:lang w:eastAsia="zh-CN"/>
              </w:rPr>
              <w:t>未按标准要求对设备做好成品保护，造成设备损坏或污染</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000000"/>
                <w:sz w:val="18"/>
                <w:szCs w:val="18"/>
                <w:lang w:val="en-US" w:eastAsia="zh-CN"/>
              </w:rPr>
            </w:pPr>
            <w:r>
              <w:rPr>
                <w:rFonts w:hint="default" w:ascii="Times New Roman" w:hAnsi="Times New Roman" w:cs="Times New Roman"/>
                <w:color w:val="000000"/>
                <w:sz w:val="18"/>
                <w:szCs w:val="18"/>
                <w:lang w:eastAsia="zh-CN"/>
              </w:rPr>
              <w:t>满足检修管理手册以及现场目视化管理要求</w:t>
            </w:r>
            <w:r>
              <w:rPr>
                <w:rFonts w:hint="default" w:ascii="Times New Roman" w:hAnsi="Times New Roman" w:cs="Times New Roman"/>
                <w:color w:val="000000"/>
                <w:sz w:val="18"/>
                <w:szCs w:val="18"/>
                <w:lang w:val="en-US" w:eastAsia="zh-CN"/>
              </w:rPr>
              <w:t>等</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赔偿损坏设备，并</w:t>
            </w:r>
            <w:r>
              <w:rPr>
                <w:rFonts w:hint="default" w:ascii="Times New Roman" w:hAnsi="Times New Roman" w:cs="Times New Roman"/>
                <w:color w:val="000000"/>
                <w:sz w:val="18"/>
                <w:szCs w:val="18"/>
              </w:rPr>
              <w:t>每项扣</w:t>
            </w:r>
            <w:r>
              <w:rPr>
                <w:rFonts w:hint="default" w:ascii="Times New Roman" w:hAnsi="Times New Roman" w:cs="Times New Roman"/>
                <w:color w:val="000000"/>
                <w:sz w:val="18"/>
                <w:szCs w:val="18"/>
                <w:lang w:val="en-US" w:eastAsia="zh-CN"/>
              </w:rPr>
              <w:t>2</w:t>
            </w:r>
            <w:r>
              <w:rPr>
                <w:rFonts w:hint="default" w:ascii="Times New Roman" w:hAnsi="Times New Roman" w:cs="Times New Roman"/>
                <w:color w:val="000000"/>
                <w:sz w:val="18"/>
                <w:szCs w:val="18"/>
              </w:rPr>
              <w:t>00元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2.2</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质量管理</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p>
        </w:tc>
        <w:tc>
          <w:tcPr>
            <w:tcW w:w="19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2.2.1</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违犯作业指导书规定</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以规定标准及程序为准</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每项扣200元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2.2.2</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违犯工艺纪律</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以设备检修工艺纪律为准</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每项扣500元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2.2.3</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三级验收不合格</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按作业指导书或规程规定</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每项扣1000元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2.2.4</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三级验收再次验收不合格</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按作业指导书或规程规定</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每项扣2000元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2.2.5</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H点验收不合格</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验收标准</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每项扣300元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2.2.6</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W点验收不合格</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验收标准</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每项扣200元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2.2.7</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H点再次验收不合格</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验收标准</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每项扣600元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2.2.8</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W点再次验收不合格</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验收标准</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每项扣400元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2.2.9</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H点未经验收即进行下道工序</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不验收合格不能进行下道工序</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每项扣1000元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2.2.10</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单机试转不合格</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验收标准</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每项扣1000元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2.2.11</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分系统试转不合格</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验收标准</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每项扣5000元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2.2.12</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发生误停、误动、误操作</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000000"/>
                <w:sz w:val="18"/>
                <w:szCs w:val="18"/>
                <w:lang w:val="en-US" w:eastAsia="zh-CN"/>
              </w:rPr>
            </w:pPr>
            <w:r>
              <w:rPr>
                <w:rFonts w:hint="default" w:ascii="Times New Roman" w:hAnsi="Times New Roman" w:cs="Times New Roman"/>
                <w:color w:val="000000"/>
                <w:sz w:val="18"/>
                <w:szCs w:val="18"/>
                <w:lang w:val="en-US" w:eastAsia="zh-CN"/>
              </w:rPr>
              <w:t>规程规定</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每项扣1000元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2.2.13</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冷态验收硬件不合格</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000000"/>
                <w:sz w:val="18"/>
                <w:szCs w:val="18"/>
                <w:lang w:val="en-US" w:eastAsia="zh-CN"/>
              </w:rPr>
            </w:pPr>
            <w:r>
              <w:rPr>
                <w:rFonts w:hint="default" w:ascii="Times New Roman" w:hAnsi="Times New Roman" w:cs="Times New Roman"/>
                <w:color w:val="000000"/>
                <w:sz w:val="18"/>
                <w:szCs w:val="18"/>
                <w:lang w:val="en-US" w:eastAsia="zh-CN"/>
              </w:rPr>
              <w:t>验收标准</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每项扣300元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2.2.14</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冷态验收软件不合格</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验收标准</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每项扣300元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2.2.15</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再次冷态验收不合格</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验收标准</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每项扣1000元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2.2.16</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设备损坏</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专业</w:t>
            </w:r>
            <w:r>
              <w:rPr>
                <w:rFonts w:hint="default" w:ascii="Times New Roman" w:hAnsi="Times New Roman" w:cs="Times New Roman"/>
                <w:color w:val="000000"/>
                <w:sz w:val="18"/>
                <w:szCs w:val="18"/>
              </w:rPr>
              <w:t>认定为准</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负责赔偿更换，或</w:t>
            </w:r>
            <w:r>
              <w:rPr>
                <w:rFonts w:hint="default" w:ascii="Times New Roman" w:hAnsi="Times New Roman" w:cs="Times New Roman"/>
                <w:color w:val="000000"/>
                <w:sz w:val="18"/>
                <w:szCs w:val="18"/>
                <w:lang w:val="en-US" w:eastAsia="zh-CN"/>
              </w:rPr>
              <w:t>赔偿</w:t>
            </w:r>
            <w:r>
              <w:rPr>
                <w:rFonts w:hint="default" w:ascii="Times New Roman" w:hAnsi="Times New Roman" w:cs="Times New Roman"/>
                <w:color w:val="000000"/>
                <w:sz w:val="18"/>
                <w:szCs w:val="18"/>
              </w:rPr>
              <w:t>由此造成的损失，并考核</w:t>
            </w:r>
            <w:r>
              <w:rPr>
                <w:rFonts w:hint="default" w:ascii="Times New Roman" w:hAnsi="Times New Roman" w:cs="Times New Roman"/>
                <w:color w:val="000000"/>
                <w:sz w:val="18"/>
                <w:szCs w:val="18"/>
                <w:lang w:val="en-US" w:eastAsia="zh-CN"/>
              </w:rPr>
              <w:t>0.1</w:t>
            </w:r>
            <w:r>
              <w:rPr>
                <w:rFonts w:hint="default" w:ascii="Times New Roman" w:hAnsi="Times New Roman" w:cs="Times New Roman"/>
                <w:color w:val="000000"/>
                <w:sz w:val="18"/>
                <w:szCs w:val="18"/>
              </w:rPr>
              <w:t>-1</w:t>
            </w:r>
            <w:r>
              <w:rPr>
                <w:rFonts w:hint="default" w:ascii="Times New Roman" w:hAnsi="Times New Roman" w:cs="Times New Roman"/>
                <w:color w:val="000000"/>
                <w:sz w:val="18"/>
                <w:szCs w:val="18"/>
                <w:lang w:val="en-US" w:eastAsia="zh-CN"/>
              </w:rPr>
              <w:t>万</w:t>
            </w:r>
            <w:r>
              <w:rPr>
                <w:rFonts w:hint="default" w:ascii="Times New Roman" w:hAnsi="Times New Roman" w:cs="Times New Roman"/>
                <w:color w:val="000000"/>
                <w:sz w:val="18"/>
                <w:szCs w:val="18"/>
              </w:rPr>
              <w:t>元/次</w:t>
            </w:r>
          </w:p>
        </w:tc>
        <w:tc>
          <w:tcPr>
            <w:tcW w:w="19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2.2.17</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检修中发生质量事故</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专业</w:t>
            </w:r>
            <w:r>
              <w:rPr>
                <w:rFonts w:hint="default" w:ascii="Times New Roman" w:hAnsi="Times New Roman" w:cs="Times New Roman"/>
                <w:color w:val="000000"/>
                <w:sz w:val="18"/>
                <w:szCs w:val="18"/>
              </w:rPr>
              <w:t>认定为准</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考核0.5-5万元/次，发生重大质量事故，专项处理</w:t>
            </w:r>
          </w:p>
        </w:tc>
        <w:tc>
          <w:tcPr>
            <w:tcW w:w="19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2.3</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检修</w:t>
            </w:r>
            <w:r>
              <w:rPr>
                <w:rFonts w:hint="default" w:ascii="Times New Roman" w:hAnsi="Times New Roman" w:cs="Times New Roman"/>
                <w:color w:val="000000"/>
                <w:sz w:val="18"/>
                <w:szCs w:val="18"/>
              </w:rPr>
              <w:t>协调管理</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p>
        </w:tc>
        <w:tc>
          <w:tcPr>
            <w:tcW w:w="19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2.3.1</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不按时出席调度会或协调会</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000000"/>
                <w:sz w:val="18"/>
                <w:szCs w:val="18"/>
                <w:lang w:val="en-US" w:eastAsia="zh-CN"/>
              </w:rPr>
            </w:pPr>
            <w:r>
              <w:rPr>
                <w:rFonts w:hint="default" w:ascii="Times New Roman" w:hAnsi="Times New Roman" w:cs="Times New Roman"/>
                <w:color w:val="000000"/>
                <w:sz w:val="18"/>
                <w:szCs w:val="18"/>
                <w:lang w:val="en-US" w:eastAsia="zh-CN"/>
              </w:rPr>
              <w:t>按规定</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缺席每人次扣100元</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迟到每人次扣50元</w:t>
            </w:r>
          </w:p>
        </w:tc>
        <w:tc>
          <w:tcPr>
            <w:tcW w:w="19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2.3.2</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不按时出席专业会</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按规定</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缺席每人次扣100元</w:t>
            </w:r>
          </w:p>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迟到每人次扣50元</w:t>
            </w:r>
          </w:p>
        </w:tc>
        <w:tc>
          <w:tcPr>
            <w:tcW w:w="19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2.3.3</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交办工作不落实</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按规定</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每项扣1000元</w:t>
            </w:r>
          </w:p>
        </w:tc>
        <w:tc>
          <w:tcPr>
            <w:tcW w:w="19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2.3.4</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专业、部门间发送的工作联系单超过24小时没有回音</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以发送的工作联系单时的时间为准</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w:t>
            </w:r>
            <w:r>
              <w:rPr>
                <w:rFonts w:hint="default" w:ascii="Times New Roman" w:hAnsi="Times New Roman" w:cs="Times New Roman"/>
                <w:color w:val="000000"/>
                <w:sz w:val="18"/>
                <w:szCs w:val="18"/>
                <w:lang w:val="en-US" w:eastAsia="zh-CN"/>
              </w:rPr>
              <w:t>5</w:t>
            </w:r>
            <w:r>
              <w:rPr>
                <w:rFonts w:hint="default" w:ascii="Times New Roman" w:hAnsi="Times New Roman" w:cs="Times New Roman"/>
                <w:color w:val="000000"/>
                <w:sz w:val="18"/>
                <w:szCs w:val="18"/>
              </w:rPr>
              <w:t>00元</w:t>
            </w:r>
          </w:p>
        </w:tc>
        <w:tc>
          <w:tcPr>
            <w:tcW w:w="19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cs="Times New Roman"/>
                <w:color w:val="000000"/>
                <w:sz w:val="18"/>
                <w:szCs w:val="18"/>
              </w:rPr>
              <w:t>2.</w:t>
            </w:r>
            <w:r>
              <w:rPr>
                <w:rFonts w:hint="default" w:ascii="Times New Roman" w:hAnsi="Times New Roman" w:cs="Times New Roman"/>
                <w:color w:val="000000"/>
                <w:sz w:val="18"/>
                <w:szCs w:val="18"/>
                <w:lang w:val="en-US" w:eastAsia="zh-CN"/>
              </w:rPr>
              <w:t>4</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检修工期管理</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p>
        </w:tc>
        <w:tc>
          <w:tcPr>
            <w:tcW w:w="19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2.4.1</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因备品加工及材料供应不及时拖延工期</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以</w:t>
            </w:r>
            <w:r>
              <w:rPr>
                <w:rFonts w:hint="default" w:ascii="Times New Roman" w:hAnsi="Times New Roman" w:cs="Times New Roman"/>
                <w:color w:val="000000"/>
                <w:sz w:val="18"/>
                <w:szCs w:val="18"/>
              </w:rPr>
              <w:t>认定为准</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拖延专业工期一天扣500元，拖延总工期一天扣1000元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2.4.2</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工期延误</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以</w:t>
            </w:r>
            <w:r>
              <w:rPr>
                <w:rFonts w:hint="default" w:ascii="Times New Roman" w:hAnsi="Times New Roman" w:cs="Times New Roman"/>
                <w:color w:val="000000"/>
                <w:sz w:val="18"/>
                <w:szCs w:val="18"/>
              </w:rPr>
              <w:t>认定为准</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拖延专业工期一天扣5000元，拖延总工期一天扣10000元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3</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修后管理</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3.1</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设备不见本色、积灰积油等</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冷态验收时提出为准</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每处扣100元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3.2</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阀门手轮、设备标识、防护设施、介质流向不齐全不完整、不正确</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冷态验收时提出为准</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每处扣100元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3.3</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存在</w:t>
            </w:r>
            <w:r>
              <w:rPr>
                <w:rFonts w:hint="default" w:ascii="Times New Roman" w:hAnsi="Times New Roman" w:cs="Times New Roman"/>
                <w:color w:val="000000"/>
                <w:sz w:val="18"/>
                <w:szCs w:val="18"/>
              </w:rPr>
              <w:t>设备缺陷或漏点</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冷态验收时提出为准</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每项扣200元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cs="Times New Roman"/>
                <w:color w:val="000000"/>
                <w:sz w:val="18"/>
                <w:szCs w:val="18"/>
              </w:rPr>
              <w:t>3.</w:t>
            </w:r>
            <w:r>
              <w:rPr>
                <w:rFonts w:hint="default" w:ascii="Times New Roman" w:hAnsi="Times New Roman" w:cs="Times New Roman"/>
                <w:color w:val="000000"/>
                <w:sz w:val="18"/>
                <w:szCs w:val="18"/>
                <w:lang w:val="en-US" w:eastAsia="zh-CN"/>
              </w:rPr>
              <w:t>4</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修后机组启动未成功</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以并网及解列为准</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一次扣1-5万元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3.</w:t>
            </w:r>
            <w:r>
              <w:rPr>
                <w:rFonts w:hint="default" w:ascii="Times New Roman" w:hAnsi="Times New Roman" w:cs="Times New Roman"/>
                <w:color w:val="000000"/>
                <w:sz w:val="18"/>
                <w:szCs w:val="18"/>
                <w:lang w:val="en-US" w:eastAsia="zh-CN"/>
              </w:rPr>
              <w:t>5</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首次启动发生泄漏</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漏汽、风、油、水等</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每项扣200-20000元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cs="Times New Roman"/>
                <w:color w:val="000000"/>
                <w:sz w:val="18"/>
                <w:szCs w:val="18"/>
              </w:rPr>
              <w:t>3.</w:t>
            </w:r>
            <w:r>
              <w:rPr>
                <w:rFonts w:hint="default" w:ascii="Times New Roman" w:hAnsi="Times New Roman" w:cs="Times New Roman"/>
                <w:color w:val="000000"/>
                <w:sz w:val="18"/>
                <w:szCs w:val="18"/>
                <w:lang w:val="en-US" w:eastAsia="zh-CN"/>
              </w:rPr>
              <w:t>6</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发生设备异常及以上事件</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以</w:t>
            </w:r>
            <w:r>
              <w:rPr>
                <w:rFonts w:hint="default" w:ascii="Times New Roman" w:hAnsi="Times New Roman" w:cs="Times New Roman"/>
                <w:color w:val="000000"/>
                <w:sz w:val="18"/>
                <w:szCs w:val="18"/>
              </w:rPr>
              <w:t>认定为准</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000000"/>
                <w:sz w:val="18"/>
                <w:szCs w:val="18"/>
                <w:lang w:val="en-US" w:eastAsia="zh-CN"/>
              </w:rPr>
            </w:pPr>
            <w:r>
              <w:rPr>
                <w:rFonts w:hint="default" w:ascii="Times New Roman" w:hAnsi="Times New Roman" w:cs="Times New Roman"/>
                <w:color w:val="000000"/>
                <w:sz w:val="18"/>
                <w:szCs w:val="18"/>
              </w:rPr>
              <w:t>承担相应责任及费用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视事件严重程度进行考核5000</w:t>
            </w:r>
            <w:r>
              <w:rPr>
                <w:rFonts w:hint="default" w:ascii="Times New Roman" w:hAnsi="Times New Roman" w:cs="Times New Roman"/>
                <w:color w:val="000000"/>
                <w:sz w:val="18"/>
                <w:szCs w:val="18"/>
              </w:rPr>
              <w:t>-5</w:t>
            </w:r>
            <w:r>
              <w:rPr>
                <w:rFonts w:hint="default" w:ascii="Times New Roman" w:hAnsi="Times New Roman" w:cs="Times New Roman"/>
                <w:color w:val="000000"/>
                <w:sz w:val="18"/>
                <w:szCs w:val="18"/>
                <w:lang w:val="en-US" w:eastAsia="zh-CN"/>
              </w:rPr>
              <w:t>0000</w:t>
            </w:r>
            <w:r>
              <w:rPr>
                <w:rFonts w:hint="default" w:ascii="Times New Roman" w:hAnsi="Times New Roman" w:cs="Times New Roman"/>
                <w:color w:val="000000"/>
                <w:sz w:val="18"/>
                <w:szCs w:val="18"/>
              </w:rPr>
              <w:t>元</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特别严重另行处罚。</w:t>
            </w:r>
          </w:p>
        </w:tc>
        <w:tc>
          <w:tcPr>
            <w:tcW w:w="19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highlight w:val="none"/>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highlight w:val="none"/>
                <w:lang w:val="en-US" w:eastAsia="zh-CN"/>
              </w:rPr>
              <w:t>安全健康环保监察部</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18"/>
                <w:szCs w:val="18"/>
                <w:lang w:eastAsia="zh-CN"/>
              </w:rPr>
            </w:pPr>
            <w:r>
              <w:rPr>
                <w:rFonts w:hint="default" w:ascii="Times New Roman" w:hAnsi="Times New Roman" w:cs="Times New Roman"/>
                <w:color w:val="000000"/>
                <w:sz w:val="18"/>
                <w:szCs w:val="18"/>
              </w:rPr>
              <w:t>3.</w:t>
            </w:r>
            <w:r>
              <w:rPr>
                <w:rFonts w:hint="default" w:ascii="Times New Roman" w:hAnsi="Times New Roman" w:cs="Times New Roman"/>
                <w:color w:val="000000"/>
                <w:sz w:val="18"/>
                <w:szCs w:val="18"/>
                <w:lang w:val="en-US" w:eastAsia="zh-CN"/>
              </w:rPr>
              <w:t>7</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质保期内发生缺陷</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修后首次并网后6个月内发生缺陷，责任单位负责处理</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每项扣100-10000元</w:t>
            </w:r>
          </w:p>
        </w:tc>
        <w:tc>
          <w:tcPr>
            <w:tcW w:w="19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4</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材料备品费用超支</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p>
        </w:tc>
        <w:tc>
          <w:tcPr>
            <w:tcW w:w="1983"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4.1</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材料备品计划提报有误用不上</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以</w:t>
            </w:r>
            <w:r>
              <w:rPr>
                <w:rFonts w:hint="default" w:ascii="Times New Roman" w:hAnsi="Times New Roman" w:cs="Times New Roman"/>
                <w:color w:val="000000"/>
                <w:sz w:val="18"/>
                <w:szCs w:val="18"/>
              </w:rPr>
              <w:t>认定为准</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000000"/>
                <w:sz w:val="18"/>
                <w:szCs w:val="18"/>
                <w:lang w:val="en-US" w:eastAsia="zh-CN"/>
              </w:rPr>
            </w:pPr>
            <w:r>
              <w:rPr>
                <w:rFonts w:hint="default" w:ascii="Times New Roman" w:hAnsi="Times New Roman" w:cs="Times New Roman"/>
                <w:color w:val="000000"/>
                <w:sz w:val="18"/>
                <w:szCs w:val="18"/>
              </w:rPr>
              <w:t>按原值20%扣</w:t>
            </w:r>
            <w:r>
              <w:rPr>
                <w:rFonts w:hint="default" w:ascii="Times New Roman" w:hAnsi="Times New Roman" w:cs="Times New Roman"/>
                <w:color w:val="000000"/>
                <w:sz w:val="18"/>
                <w:szCs w:val="18"/>
                <w:lang w:val="en-US" w:eastAsia="zh-CN"/>
              </w:rPr>
              <w:t>或相应考核</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4.2</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材料、备品料单混乱与项目成本科目不符合</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以</w:t>
            </w:r>
            <w:r>
              <w:rPr>
                <w:rFonts w:hint="default" w:ascii="Times New Roman" w:hAnsi="Times New Roman" w:cs="Times New Roman"/>
                <w:color w:val="000000"/>
                <w:sz w:val="18"/>
                <w:szCs w:val="18"/>
              </w:rPr>
              <w:t>认定为准</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每项扣200元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4.3</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未经生产技术管理部门相关专业同意擅自更换备品</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以</w:t>
            </w:r>
            <w:r>
              <w:rPr>
                <w:rFonts w:hint="default" w:ascii="Times New Roman" w:hAnsi="Times New Roman" w:cs="Times New Roman"/>
                <w:color w:val="000000"/>
                <w:sz w:val="18"/>
                <w:szCs w:val="18"/>
              </w:rPr>
              <w:t>认定为准</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每项扣1000元</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4.4</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领用的材料备品保管不当或损坏</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lang w:val="en-US" w:eastAsia="zh-CN"/>
              </w:rPr>
              <w:t>以</w:t>
            </w:r>
            <w:r>
              <w:rPr>
                <w:rFonts w:hint="default" w:ascii="Times New Roman" w:hAnsi="Times New Roman" w:cs="Times New Roman"/>
                <w:color w:val="000000"/>
                <w:sz w:val="18"/>
                <w:szCs w:val="18"/>
              </w:rPr>
              <w:t>认定为准</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责任单位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eastAsia="宋体" w:cs="Times New Roman"/>
                <w:color w:val="000000"/>
                <w:sz w:val="18"/>
                <w:szCs w:val="18"/>
                <w:lang w:val="en-US" w:eastAsia="zh-CN"/>
              </w:rPr>
            </w:pPr>
            <w:r>
              <w:rPr>
                <w:rFonts w:hint="default" w:ascii="Times New Roman" w:hAnsi="Times New Roman" w:cs="Times New Roman"/>
                <w:color w:val="000000"/>
                <w:sz w:val="18"/>
                <w:szCs w:val="18"/>
              </w:rPr>
              <w:t>按原值20%扣</w:t>
            </w:r>
            <w:r>
              <w:rPr>
                <w:rFonts w:hint="default" w:ascii="Times New Roman" w:hAnsi="Times New Roman" w:cs="Times New Roman"/>
                <w:color w:val="000000"/>
                <w:sz w:val="18"/>
                <w:szCs w:val="18"/>
                <w:lang w:val="en-US" w:eastAsia="zh-CN"/>
              </w:rPr>
              <w:t>或相应考核</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r>
        <w:tblPrEx>
          <w:tblCellMar>
            <w:top w:w="0" w:type="dxa"/>
            <w:left w:w="108" w:type="dxa"/>
            <w:bottom w:w="0" w:type="dxa"/>
            <w:right w:w="108" w:type="dxa"/>
          </w:tblCellMar>
        </w:tblPrEx>
        <w:trPr>
          <w:jc w:val="center"/>
        </w:trPr>
        <w:tc>
          <w:tcPr>
            <w:tcW w:w="8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4.5</w:t>
            </w:r>
          </w:p>
        </w:tc>
        <w:tc>
          <w:tcPr>
            <w:tcW w:w="3040"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资料整理及移交</w:t>
            </w:r>
          </w:p>
        </w:tc>
        <w:tc>
          <w:tcPr>
            <w:tcW w:w="3288"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按</w:t>
            </w:r>
            <w:r>
              <w:rPr>
                <w:rFonts w:hint="default" w:ascii="Times New Roman" w:hAnsi="Times New Roman" w:cs="Times New Roman"/>
                <w:color w:val="000000"/>
                <w:sz w:val="18"/>
                <w:szCs w:val="18"/>
                <w:lang w:val="en-US" w:eastAsia="zh-CN"/>
              </w:rPr>
              <w:t>时、标准、按合同</w:t>
            </w:r>
          </w:p>
        </w:tc>
        <w:tc>
          <w:tcPr>
            <w:tcW w:w="2736"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检修单位</w:t>
            </w:r>
          </w:p>
        </w:tc>
        <w:tc>
          <w:tcPr>
            <w:tcW w:w="2014" w:type="dxa"/>
            <w:tcBorders>
              <w:top w:val="single" w:color="auto" w:sz="4" w:space="0"/>
              <w:left w:val="nil"/>
              <w:bottom w:val="single" w:color="auto" w:sz="4" w:space="0"/>
              <w:right w:val="single" w:color="auto" w:sz="4" w:space="0"/>
            </w:tcBorders>
            <w:noWrap w:val="0"/>
            <w:vAlign w:val="center"/>
          </w:tcPr>
          <w:p>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Times New Roman" w:hAnsi="Times New Roman" w:cs="Times New Roman"/>
                <w:color w:val="000000"/>
                <w:sz w:val="18"/>
                <w:szCs w:val="18"/>
              </w:rPr>
            </w:pPr>
            <w:r>
              <w:rPr>
                <w:rFonts w:hint="default" w:ascii="Times New Roman" w:hAnsi="Times New Roman" w:cs="Times New Roman"/>
                <w:color w:val="000000"/>
                <w:sz w:val="18"/>
                <w:szCs w:val="18"/>
              </w:rPr>
              <w:t>未交检修资料，考核2万元，同时可拒绝支付保证金；推迟交付，考核500元/天。</w:t>
            </w:r>
          </w:p>
        </w:tc>
        <w:tc>
          <w:tcPr>
            <w:tcW w:w="1983" w:type="dxa"/>
            <w:tcBorders>
              <w:top w:val="single" w:color="auto" w:sz="4" w:space="0"/>
              <w:left w:val="nil"/>
              <w:bottom w:val="single" w:color="auto" w:sz="4" w:space="0"/>
              <w:right w:val="single" w:color="auto" w:sz="4" w:space="0"/>
            </w:tcBorders>
            <w:noWrap w:val="0"/>
            <w:vAlign w:val="top"/>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宋体" w:cs="Times New Roman"/>
                <w:color w:val="000000"/>
                <w:sz w:val="18"/>
                <w:szCs w:val="18"/>
                <w:lang w:val="en-US" w:eastAsia="zh-CN"/>
              </w:rPr>
            </w:pPr>
            <w:r>
              <w:rPr>
                <w:rFonts w:hint="default" w:ascii="Times New Roman" w:hAnsi="Times New Roman" w:cs="Times New Roman"/>
                <w:color w:val="000000"/>
                <w:sz w:val="18"/>
                <w:szCs w:val="18"/>
              </w:rPr>
              <w:t>生产技术部</w:t>
            </w:r>
            <w:r>
              <w:rPr>
                <w:rFonts w:hint="default" w:ascii="Times New Roman" w:hAnsi="Times New Roman" w:cs="Times New Roman"/>
                <w:color w:val="000000"/>
                <w:sz w:val="18"/>
                <w:szCs w:val="18"/>
                <w:lang w:eastAsia="zh-CN"/>
              </w:rPr>
              <w:t>、</w:t>
            </w:r>
            <w:r>
              <w:rPr>
                <w:rFonts w:hint="default" w:ascii="Times New Roman" w:hAnsi="Times New Roman" w:cs="Times New Roman"/>
                <w:color w:val="000000"/>
                <w:sz w:val="18"/>
                <w:szCs w:val="18"/>
                <w:lang w:val="en-US" w:eastAsia="zh-CN"/>
              </w:rPr>
              <w:t>各专业组</w:t>
            </w:r>
          </w:p>
        </w:tc>
      </w:tr>
    </w:tbl>
    <w:p>
      <w:pPr>
        <w:spacing w:before="156" w:beforeLines="50" w:after="156" w:afterLines="50"/>
        <w:outlineLvl w:val="0"/>
        <w:rPr>
          <w:rFonts w:hint="default" w:ascii="Times New Roman" w:hAnsi="Times New Roman" w:cs="Times New Roman"/>
          <w:b/>
          <w:bCs/>
          <w:color w:val="000000"/>
          <w:sz w:val="28"/>
          <w:szCs w:val="28"/>
        </w:rPr>
      </w:pPr>
      <w:r>
        <w:rPr>
          <w:rFonts w:hint="eastAsia"/>
          <w:lang w:val="en-US" w:eastAsia="zh-CN"/>
        </w:rPr>
        <w:t>注：上表考核若与技术协议（规范书）专项考核条款不一致，则以专项考核条款为准。</w:t>
      </w:r>
      <w:r>
        <w:rPr>
          <w:rFonts w:hint="default" w:ascii="Times New Roman" w:hAnsi="Times New Roman" w:cs="Times New Roman"/>
          <w:color w:val="000000"/>
        </w:rPr>
        <w:br w:type="page"/>
      </w:r>
      <w:bookmarkStart w:id="117" w:name="_Toc25646"/>
      <w:bookmarkStart w:id="118" w:name="_Toc13862"/>
      <w:bookmarkStart w:id="119" w:name="_Toc14475"/>
      <w:bookmarkStart w:id="120" w:name="_Toc505335471"/>
      <w:bookmarkStart w:id="121" w:name="_Toc23900"/>
      <w:r>
        <w:rPr>
          <w:rFonts w:hint="default" w:ascii="Times New Roman" w:hAnsi="Times New Roman" w:eastAsia="黑体" w:cs="Times New Roman"/>
          <w:b w:val="0"/>
          <w:bCs/>
          <w:kern w:val="44"/>
          <w:sz w:val="30"/>
          <w:szCs w:val="30"/>
          <w:lang w:val="en-US" w:eastAsia="zh-CN" w:bidi="ar-SA"/>
        </w:rPr>
        <w:t>附件</w:t>
      </w:r>
      <w:r>
        <w:rPr>
          <w:rFonts w:hint="eastAsia" w:ascii="Times New Roman" w:hAnsi="Times New Roman" w:eastAsia="黑体" w:cs="Times New Roman"/>
          <w:b w:val="0"/>
          <w:bCs/>
          <w:kern w:val="44"/>
          <w:sz w:val="30"/>
          <w:szCs w:val="30"/>
          <w:lang w:val="en-US" w:eastAsia="zh-CN" w:bidi="ar-SA"/>
        </w:rPr>
        <w:t>2：</w:t>
      </w:r>
      <w:r>
        <w:rPr>
          <w:rFonts w:hint="default" w:ascii="Times New Roman" w:hAnsi="Times New Roman" w:eastAsia="黑体" w:cs="Times New Roman"/>
          <w:b w:val="0"/>
          <w:bCs/>
          <w:kern w:val="44"/>
          <w:sz w:val="30"/>
          <w:szCs w:val="30"/>
          <w:lang w:val="en-US" w:eastAsia="zh-CN" w:bidi="ar-SA"/>
        </w:rPr>
        <w:t>检修安全健康环保考核实施细则</w:t>
      </w:r>
      <w:bookmarkEnd w:id="117"/>
      <w:bookmarkEnd w:id="118"/>
      <w:bookmarkEnd w:id="119"/>
      <w:bookmarkEnd w:id="120"/>
      <w:bookmarkEnd w:id="121"/>
    </w:p>
    <w:p>
      <w:pPr>
        <w:spacing w:before="156" w:beforeLines="50" w:after="156" w:afterLines="50"/>
        <w:ind w:firstLine="3596" w:firstLineChars="995"/>
        <w:rPr>
          <w:rFonts w:hint="default" w:ascii="Times New Roman" w:hAnsi="Times New Roman" w:cs="Times New Roman"/>
          <w:b/>
          <w:bCs/>
          <w:color w:val="000000"/>
          <w:sz w:val="36"/>
          <w:szCs w:val="36"/>
        </w:rPr>
      </w:pPr>
      <w:bookmarkStart w:id="122" w:name="_Toc11267_WPSOffice_Level1"/>
      <w:r>
        <w:rPr>
          <w:rFonts w:hint="default" w:ascii="Times New Roman" w:hAnsi="Times New Roman" w:cs="Times New Roman"/>
          <w:b/>
          <w:bCs/>
          <w:color w:val="000000"/>
          <w:sz w:val="36"/>
          <w:szCs w:val="36"/>
        </w:rPr>
        <w:t>检修</w:t>
      </w:r>
      <w:r>
        <w:rPr>
          <w:rFonts w:hint="default" w:ascii="Times New Roman" w:hAnsi="Times New Roman" w:cs="Times New Roman"/>
          <w:b/>
          <w:bCs/>
          <w:color w:val="000000"/>
          <w:sz w:val="36"/>
          <w:szCs w:val="36"/>
          <w:lang w:val="en-US" w:eastAsia="zh-CN"/>
        </w:rPr>
        <w:t>安全健康环保</w:t>
      </w:r>
      <w:r>
        <w:rPr>
          <w:rFonts w:hint="default" w:ascii="Times New Roman" w:hAnsi="Times New Roman" w:cs="Times New Roman"/>
          <w:b/>
          <w:bCs/>
          <w:color w:val="000000"/>
          <w:sz w:val="36"/>
          <w:szCs w:val="36"/>
        </w:rPr>
        <w:t>考核实施细则</w:t>
      </w:r>
      <w:bookmarkEnd w:id="122"/>
    </w:p>
    <w:p>
      <w:pPr>
        <w:pStyle w:val="10"/>
        <w:rPr>
          <w:rFonts w:hint="default" w:ascii="Times New Roman" w:hAnsi="Times New Roman" w:cs="Times New Roman"/>
        </w:rPr>
      </w:pPr>
    </w:p>
    <w:tbl>
      <w:tblPr>
        <w:tblStyle w:val="13"/>
        <w:tblW w:w="14376"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0"/>
        <w:gridCol w:w="5400"/>
        <w:gridCol w:w="2766"/>
        <w:gridCol w:w="1590"/>
        <w:gridCol w:w="2010"/>
        <w:gridCol w:w="15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b/>
                <w:bCs/>
                <w:sz w:val="18"/>
                <w:szCs w:val="18"/>
              </w:rPr>
            </w:pPr>
            <w:r>
              <w:rPr>
                <w:rFonts w:hint="default" w:ascii="Times New Roman" w:hAnsi="Times New Roman" w:cs="Times New Roman"/>
                <w:b/>
                <w:bCs/>
                <w:sz w:val="18"/>
                <w:szCs w:val="18"/>
              </w:rPr>
              <w:t>序号</w:t>
            </w:r>
          </w:p>
        </w:tc>
        <w:tc>
          <w:tcPr>
            <w:tcW w:w="5400"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b/>
                <w:bCs/>
                <w:sz w:val="18"/>
                <w:szCs w:val="18"/>
              </w:rPr>
            </w:pPr>
            <w:r>
              <w:rPr>
                <w:rFonts w:hint="default" w:ascii="Times New Roman" w:hAnsi="Times New Roman" w:cs="Times New Roman"/>
                <w:b/>
                <w:bCs/>
                <w:sz w:val="18"/>
                <w:szCs w:val="18"/>
              </w:rPr>
              <w:t>考核内容</w:t>
            </w:r>
          </w:p>
        </w:tc>
        <w:tc>
          <w:tcPr>
            <w:tcW w:w="2766"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b/>
                <w:bCs/>
                <w:sz w:val="18"/>
                <w:szCs w:val="18"/>
              </w:rPr>
            </w:pPr>
            <w:r>
              <w:rPr>
                <w:rFonts w:hint="default" w:ascii="Times New Roman" w:hAnsi="Times New Roman" w:cs="Times New Roman"/>
                <w:b/>
                <w:bCs/>
                <w:sz w:val="18"/>
                <w:szCs w:val="18"/>
              </w:rPr>
              <w:t>考核标准</w:t>
            </w:r>
          </w:p>
        </w:tc>
        <w:tc>
          <w:tcPr>
            <w:tcW w:w="1590"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b/>
                <w:bCs/>
                <w:sz w:val="18"/>
                <w:szCs w:val="18"/>
              </w:rPr>
            </w:pPr>
            <w:r>
              <w:rPr>
                <w:rFonts w:hint="default" w:ascii="Times New Roman" w:hAnsi="Times New Roman" w:cs="Times New Roman"/>
                <w:b/>
                <w:bCs/>
                <w:sz w:val="18"/>
                <w:szCs w:val="18"/>
              </w:rPr>
              <w:t>被考核部门</w:t>
            </w:r>
          </w:p>
        </w:tc>
        <w:tc>
          <w:tcPr>
            <w:tcW w:w="2010"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b/>
                <w:bCs/>
                <w:sz w:val="18"/>
                <w:szCs w:val="18"/>
              </w:rPr>
            </w:pPr>
            <w:r>
              <w:rPr>
                <w:rFonts w:hint="default" w:ascii="Times New Roman" w:hAnsi="Times New Roman" w:cs="Times New Roman"/>
                <w:b/>
                <w:bCs/>
                <w:sz w:val="18"/>
                <w:szCs w:val="18"/>
              </w:rPr>
              <w:t>考核金额</w:t>
            </w:r>
          </w:p>
        </w:tc>
        <w:tc>
          <w:tcPr>
            <w:tcW w:w="1530" w:type="dxa"/>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b/>
                <w:bCs/>
                <w:sz w:val="18"/>
                <w:szCs w:val="18"/>
              </w:rPr>
            </w:pPr>
            <w:r>
              <w:rPr>
                <w:rFonts w:hint="default" w:ascii="Times New Roman" w:hAnsi="Times New Roman" w:cs="Times New Roman"/>
                <w:b/>
                <w:bCs/>
                <w:sz w:val="18"/>
                <w:szCs w:val="18"/>
              </w:rPr>
              <w:t>考核部门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1</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检修准备工作</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　</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　</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　</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1.1</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未按期完成检修中使用的专用工具、安全工器具等的准备，做到数量齐全，并经检验（检查）合格</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生技部编制检查性大修技术规范要求，检查记录</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设备维修部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每延迟一天，</w:t>
            </w:r>
            <w:r>
              <w:rPr>
                <w:rFonts w:hint="default" w:ascii="Times New Roman" w:hAnsi="Times New Roman" w:cs="Times New Roman"/>
                <w:kern w:val="0"/>
                <w:sz w:val="18"/>
                <w:szCs w:val="18"/>
                <w:lang w:val="en-US" w:eastAsia="zh-CN"/>
              </w:rPr>
              <w:t>200</w:t>
            </w:r>
            <w:r>
              <w:rPr>
                <w:rFonts w:hint="default" w:ascii="Times New Roman" w:hAnsi="Times New Roman" w:cs="Times New Roman"/>
                <w:kern w:val="0"/>
                <w:sz w:val="18"/>
                <w:szCs w:val="18"/>
              </w:rPr>
              <w:t>元/项</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1.2</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未按期完成检修中使用的标准检验、测量仪器的准备，做到数量齐全，保证符合相关技术规定</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生技部编制检查性大修技术规范要求，检查记录</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设备维修部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每延迟一天，</w:t>
            </w:r>
            <w:r>
              <w:rPr>
                <w:rFonts w:hint="default" w:ascii="Times New Roman" w:hAnsi="Times New Roman" w:cs="Times New Roman"/>
                <w:kern w:val="0"/>
                <w:sz w:val="18"/>
                <w:szCs w:val="18"/>
                <w:lang w:val="en-US" w:eastAsia="zh-CN"/>
              </w:rPr>
              <w:t>200</w:t>
            </w:r>
            <w:r>
              <w:rPr>
                <w:rFonts w:hint="default" w:ascii="Times New Roman" w:hAnsi="Times New Roman" w:cs="Times New Roman"/>
                <w:kern w:val="0"/>
                <w:sz w:val="18"/>
                <w:szCs w:val="18"/>
              </w:rPr>
              <w:t>元/项</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生技部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1.3</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未按期完成对外包工程单位人员的安全教育和《电业安全工作规程》考试的检查工作并备案</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安规要求</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设备维修部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每延迟一天，200元/项</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1.4</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未确认与承接工作相适应的工作票签发人、负责人名单</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安规要求</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设备维修部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每延迟一天，200元/项</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1.5</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未按期对特殊工种人员的资格进行确认</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安规要求</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设备维修部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200元/次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1.6</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对危险性大的作业，未制定专项施工组织、安全措施</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以交生技部并批准的为准</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设备维修部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300元/项</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1.7</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重大项目无技术、安全措施</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以交生技部并批准的为准</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设备维修部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300元/项</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1.8</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未向外检修委队伍的相关人员进行安全、技术交底</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生技部编制检查性大修技术规范要求，检查记录</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生技部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每延迟一天，</w:t>
            </w:r>
            <w:r>
              <w:rPr>
                <w:rFonts w:hint="default" w:ascii="Times New Roman" w:hAnsi="Times New Roman" w:cs="Times New Roman"/>
                <w:kern w:val="0"/>
                <w:sz w:val="18"/>
                <w:szCs w:val="18"/>
                <w:lang w:val="en-US" w:eastAsia="zh-CN"/>
              </w:rPr>
              <w:t>200</w:t>
            </w:r>
            <w:r>
              <w:rPr>
                <w:rFonts w:hint="default" w:ascii="Times New Roman" w:hAnsi="Times New Roman" w:cs="Times New Roman"/>
                <w:kern w:val="0"/>
                <w:sz w:val="18"/>
                <w:szCs w:val="18"/>
              </w:rPr>
              <w:t>元/项</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 xml:space="preserve">1.9 </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检修工作的实施</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　</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　</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　</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1.9</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1</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重大项目无技术措施或有措施不落实</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以交生技部并批准的为准</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检修责任单位</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300元/项</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1.9</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2</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设备发生异动无手续或手续不全</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以交生技部并批准的为准</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检修责任单位</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200元/项</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eastAsia="宋体" w:cs="Times New Roman"/>
                <w:b/>
                <w:bCs/>
                <w:kern w:val="0"/>
                <w:sz w:val="18"/>
                <w:szCs w:val="18"/>
                <w:lang w:eastAsia="zh-CN"/>
              </w:rPr>
            </w:pPr>
            <w:r>
              <w:rPr>
                <w:rFonts w:hint="default" w:ascii="Times New Roman" w:hAnsi="Times New Roman" w:cs="Times New Roman"/>
                <w:b/>
                <w:bCs/>
                <w:kern w:val="0"/>
                <w:sz w:val="18"/>
                <w:szCs w:val="18"/>
              </w:rPr>
              <w:t>安全文明</w:t>
            </w:r>
            <w:r>
              <w:rPr>
                <w:rFonts w:hint="default" w:ascii="Times New Roman" w:hAnsi="Times New Roman" w:cs="Times New Roman"/>
                <w:b/>
                <w:bCs/>
                <w:kern w:val="0"/>
                <w:sz w:val="18"/>
                <w:szCs w:val="18"/>
                <w:lang w:eastAsia="zh-CN"/>
              </w:rPr>
              <w:t>及职业卫生</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　</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　</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　</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1</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无票作业</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现场验证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检修责任单位</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500元/次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2</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工作票办理不及时</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以安健环部检查等为准</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检修责任单位</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lang w:val="en-US" w:eastAsia="zh-CN"/>
              </w:rPr>
              <w:t>200</w:t>
            </w:r>
            <w:r>
              <w:rPr>
                <w:rFonts w:hint="default" w:ascii="Times New Roman" w:hAnsi="Times New Roman" w:cs="Times New Roman"/>
                <w:kern w:val="0"/>
                <w:sz w:val="18"/>
                <w:szCs w:val="18"/>
              </w:rPr>
              <w:t>元/份</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3</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工作票措施不全</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以安健环部检查等为准</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检修责任单位</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lang w:val="en-US" w:eastAsia="zh-CN"/>
              </w:rPr>
              <w:t>200</w:t>
            </w:r>
            <w:r>
              <w:rPr>
                <w:rFonts w:hint="default" w:ascii="Times New Roman" w:hAnsi="Times New Roman" w:cs="Times New Roman"/>
                <w:kern w:val="0"/>
                <w:sz w:val="18"/>
                <w:szCs w:val="18"/>
              </w:rPr>
              <w:t>元/份</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4</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“两票”不合格、或全过程执行不符合标准</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检查工作票和现场监督</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200元/次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5</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工作票终结不及时</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以安健环部检查等为准</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检修责任单位</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lang w:val="en-US" w:eastAsia="zh-CN"/>
              </w:rPr>
              <w:t>200</w:t>
            </w:r>
            <w:r>
              <w:rPr>
                <w:rFonts w:hint="default" w:ascii="Times New Roman" w:hAnsi="Times New Roman" w:cs="Times New Roman"/>
                <w:kern w:val="0"/>
                <w:sz w:val="18"/>
                <w:szCs w:val="18"/>
              </w:rPr>
              <w:t>元/份</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 xml:space="preserve">6 </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系统隔离或试转时出现操作问题</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以生技部或安健环部检查等为准</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运行部门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300元/次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7</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在未办理试转手续的情况下试转设备</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以生技部或安健环部检查等为准</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检修责任单位</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500元/次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8</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发生火警</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500元/次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9</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工作负责人</w:t>
            </w:r>
            <w:r>
              <w:rPr>
                <w:rFonts w:hint="default" w:ascii="Times New Roman" w:hAnsi="Times New Roman" w:cs="Times New Roman"/>
                <w:kern w:val="0"/>
                <w:sz w:val="18"/>
                <w:szCs w:val="18"/>
                <w:lang w:eastAsia="zh-CN"/>
              </w:rPr>
              <w:t>、</w:t>
            </w:r>
            <w:r>
              <w:rPr>
                <w:rFonts w:hint="default" w:ascii="Times New Roman" w:hAnsi="Times New Roman" w:cs="Times New Roman"/>
                <w:kern w:val="0"/>
                <w:sz w:val="18"/>
                <w:szCs w:val="18"/>
                <w:lang w:val="en-US" w:eastAsia="zh-CN"/>
              </w:rPr>
              <w:t>安全员</w:t>
            </w:r>
            <w:r>
              <w:rPr>
                <w:rFonts w:hint="default" w:ascii="Times New Roman" w:hAnsi="Times New Roman" w:cs="Times New Roman"/>
                <w:kern w:val="0"/>
                <w:sz w:val="18"/>
                <w:szCs w:val="18"/>
              </w:rPr>
              <w:t>进入作业现场不佩戴袖标</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检修责任单位</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lang w:val="en-US" w:eastAsia="zh-CN"/>
              </w:rPr>
              <w:t>200</w:t>
            </w:r>
            <w:r>
              <w:rPr>
                <w:rFonts w:hint="default" w:ascii="Times New Roman" w:hAnsi="Times New Roman" w:cs="Times New Roman"/>
                <w:kern w:val="0"/>
                <w:sz w:val="18"/>
                <w:szCs w:val="18"/>
              </w:rPr>
              <w:t>元/人次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10</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发生违章（指挥、作业、装置、管理）现象和行为</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规程和上级、公司有关规定为准</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200元/人次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11</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现场不戴安全帽、不系紧安全帽带</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left"/>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000000"/>
                <w:kern w:val="0"/>
                <w:sz w:val="18"/>
                <w:szCs w:val="18"/>
              </w:rPr>
              <w:t>在高处作业、受限空间作业或重要特殊场所作业不戴安全帽考核</w:t>
            </w:r>
            <w:r>
              <w:rPr>
                <w:rFonts w:hint="default" w:ascii="Times New Roman" w:hAnsi="Times New Roman" w:cs="Times New Roman"/>
                <w:snapToGrid w:val="0"/>
                <w:color w:val="000000"/>
                <w:kern w:val="0"/>
                <w:sz w:val="18"/>
                <w:szCs w:val="18"/>
                <w:lang w:eastAsia="zh-CN"/>
              </w:rPr>
              <w:t>相关责任人</w:t>
            </w:r>
            <w:r>
              <w:rPr>
                <w:rFonts w:hint="default" w:ascii="Times New Roman" w:hAnsi="Times New Roman" w:cs="Times New Roman"/>
                <w:snapToGrid w:val="0"/>
                <w:color w:val="000000"/>
                <w:kern w:val="0"/>
                <w:sz w:val="18"/>
                <w:szCs w:val="18"/>
              </w:rPr>
              <w:t>500元，</w:t>
            </w:r>
            <w:r>
              <w:rPr>
                <w:rFonts w:hint="default" w:ascii="Times New Roman" w:hAnsi="Times New Roman" w:cs="Times New Roman"/>
                <w:snapToGrid w:val="0"/>
                <w:color w:val="000000"/>
                <w:kern w:val="0"/>
                <w:sz w:val="18"/>
                <w:szCs w:val="18"/>
                <w:lang w:eastAsia="zh-CN"/>
              </w:rPr>
              <w:t>考核责任部门负责人和分管负责人</w:t>
            </w:r>
            <w:r>
              <w:rPr>
                <w:rFonts w:hint="default" w:ascii="Times New Roman" w:hAnsi="Times New Roman" w:cs="Times New Roman"/>
                <w:snapToGrid w:val="0"/>
                <w:color w:val="000000"/>
                <w:kern w:val="0"/>
                <w:sz w:val="18"/>
                <w:szCs w:val="18"/>
                <w:lang w:val="en-US" w:eastAsia="zh-CN"/>
              </w:rPr>
              <w:t>200</w:t>
            </w:r>
            <w:r>
              <w:rPr>
                <w:rFonts w:hint="default" w:ascii="Times New Roman" w:hAnsi="Times New Roman" w:cs="Times New Roman"/>
                <w:snapToGrid w:val="0"/>
                <w:kern w:val="0"/>
                <w:sz w:val="18"/>
                <w:szCs w:val="18"/>
              </w:rPr>
              <w:t>-</w:t>
            </w:r>
            <w:r>
              <w:rPr>
                <w:rFonts w:hint="default" w:ascii="Times New Roman" w:hAnsi="Times New Roman" w:cs="Times New Roman"/>
                <w:snapToGrid w:val="0"/>
                <w:kern w:val="0"/>
                <w:sz w:val="18"/>
                <w:szCs w:val="18"/>
                <w:lang w:val="en-US" w:eastAsia="zh-CN"/>
              </w:rPr>
              <w:t>300元；</w:t>
            </w:r>
            <w:r>
              <w:rPr>
                <w:rFonts w:hint="default" w:ascii="Times New Roman" w:hAnsi="Times New Roman" w:cs="Times New Roman"/>
                <w:snapToGrid w:val="0"/>
                <w:color w:val="000000"/>
                <w:kern w:val="0"/>
                <w:sz w:val="18"/>
                <w:szCs w:val="18"/>
              </w:rPr>
              <w:t>在其他生产现场作业不戴安全帽考核</w:t>
            </w:r>
            <w:r>
              <w:rPr>
                <w:rFonts w:hint="default" w:ascii="Times New Roman" w:hAnsi="Times New Roman" w:cs="Times New Roman"/>
                <w:snapToGrid w:val="0"/>
                <w:color w:val="000000"/>
                <w:kern w:val="0"/>
                <w:sz w:val="18"/>
                <w:szCs w:val="18"/>
                <w:lang w:eastAsia="zh-CN"/>
              </w:rPr>
              <w:t>相关责任人</w:t>
            </w:r>
            <w:r>
              <w:rPr>
                <w:rFonts w:hint="default" w:ascii="Times New Roman" w:hAnsi="Times New Roman" w:cs="Times New Roman"/>
                <w:snapToGrid w:val="0"/>
                <w:color w:val="000000"/>
                <w:kern w:val="0"/>
                <w:sz w:val="18"/>
                <w:szCs w:val="18"/>
                <w:lang w:val="en-US" w:eastAsia="zh-CN"/>
              </w:rPr>
              <w:t>3</w:t>
            </w:r>
            <w:r>
              <w:rPr>
                <w:rFonts w:hint="default" w:ascii="Times New Roman" w:hAnsi="Times New Roman" w:cs="Times New Roman"/>
                <w:snapToGrid w:val="0"/>
                <w:color w:val="000000"/>
                <w:kern w:val="0"/>
                <w:sz w:val="18"/>
                <w:szCs w:val="18"/>
              </w:rPr>
              <w:t>00元；上班期间（上下班途中除外）在主厂房周围、脱硫除灰化水输煤区域机动车通道行走不戴安全帽考核</w:t>
            </w:r>
            <w:r>
              <w:rPr>
                <w:rFonts w:hint="default" w:ascii="Times New Roman" w:hAnsi="Times New Roman" w:cs="Times New Roman"/>
                <w:snapToGrid w:val="0"/>
                <w:color w:val="000000"/>
                <w:kern w:val="0"/>
                <w:sz w:val="18"/>
                <w:szCs w:val="18"/>
                <w:lang w:val="en-US" w:eastAsia="zh-CN"/>
              </w:rPr>
              <w:t>2</w:t>
            </w:r>
            <w:r>
              <w:rPr>
                <w:rFonts w:hint="default" w:ascii="Times New Roman" w:hAnsi="Times New Roman" w:cs="Times New Roman"/>
                <w:snapToGrid w:val="0"/>
                <w:color w:val="000000"/>
                <w:kern w:val="0"/>
                <w:sz w:val="18"/>
                <w:szCs w:val="18"/>
              </w:rPr>
              <w:t>00元。不正确佩戴安全帽按上述标准减半考核</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12</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未按规定穿工作服和佩戴劳保用品</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现场验证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lang w:val="en-US" w:eastAsia="zh-CN"/>
              </w:rPr>
              <w:t>200-500</w:t>
            </w:r>
            <w:r>
              <w:rPr>
                <w:rFonts w:hint="default" w:ascii="Times New Roman" w:hAnsi="Times New Roman" w:cs="Times New Roman"/>
                <w:kern w:val="0"/>
                <w:sz w:val="18"/>
                <w:szCs w:val="18"/>
              </w:rPr>
              <w:t>元/人次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13</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穿高跟鞋、短衣、裙子、长头发未盘在帽内等进入现场</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300元/人次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14</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登高作业未按规定使用安全带、安全绳</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现场验证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lang w:val="en-US" w:eastAsia="zh-CN"/>
              </w:rPr>
              <w:t>500-1000</w:t>
            </w:r>
            <w:r>
              <w:rPr>
                <w:rFonts w:hint="default" w:ascii="Times New Roman" w:hAnsi="Times New Roman" w:cs="Times New Roman"/>
                <w:kern w:val="0"/>
                <w:sz w:val="18"/>
                <w:szCs w:val="18"/>
              </w:rPr>
              <w:t>元/人次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15</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高空作业携带工具未使用工具袋，高空抛掷物品</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200元/人次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16</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搭设的脚手架不合格或使用未验收合格脚手架</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lang w:val="en-US" w:eastAsia="zh-CN"/>
              </w:rPr>
              <w:t>500</w:t>
            </w:r>
            <w:r>
              <w:rPr>
                <w:rFonts w:hint="default" w:ascii="Times New Roman" w:hAnsi="Times New Roman" w:cs="Times New Roman"/>
                <w:kern w:val="0"/>
                <w:sz w:val="18"/>
                <w:szCs w:val="18"/>
              </w:rPr>
              <w:t>元/人次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 xml:space="preserve">17 </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使用不合格的登高器具、架台、起重设施、电动工器具</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现场验证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200元/人次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18</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有落物、坠落的危险作业区域，未设置安全围栏和明显警示标志，无专人监护</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200元/次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vMerge w:val="restart"/>
            <w:tcBorders>
              <w:top w:val="single" w:color="auto" w:sz="4" w:space="0"/>
              <w:left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19</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高空电焊、切割作业的下方没有防止焊渣、边料坠落伤人或引起火警的隔离措施</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200元/次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vMerge w:val="continue"/>
            <w:tcBorders>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left"/>
              <w:textAlignment w:val="auto"/>
              <w:rPr>
                <w:rFonts w:hint="default" w:ascii="Times New Roman" w:hAnsi="Times New Roman" w:cs="Times New Roman"/>
                <w:b/>
                <w:bCs/>
                <w:kern w:val="0"/>
                <w:sz w:val="18"/>
                <w:szCs w:val="18"/>
              </w:rPr>
            </w:pP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w:t>
            </w:r>
            <w:r>
              <w:rPr>
                <w:rFonts w:hint="default" w:ascii="Times New Roman" w:hAnsi="Times New Roman" w:cs="Times New Roman"/>
                <w:kern w:val="0"/>
                <w:sz w:val="18"/>
                <w:szCs w:val="18"/>
                <w:lang w:val="en-US" w:eastAsia="zh-CN"/>
              </w:rPr>
              <w:t>转移、</w:t>
            </w:r>
            <w:r>
              <w:rPr>
                <w:rFonts w:hint="default" w:ascii="Times New Roman" w:hAnsi="Times New Roman" w:cs="Times New Roman"/>
                <w:kern w:val="0"/>
                <w:sz w:val="18"/>
                <w:szCs w:val="18"/>
              </w:rPr>
              <w:t>使用、存放的氧气、乙炔瓶不符合安规要求</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200元/次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2.20</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检修电源和现场照明电源没有漏电保护器；在金属容器内和潮湿的场所使用的照明不是安全电压</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200元/人次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21</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eastAsia="宋体" w:cs="Times New Roman"/>
                <w:kern w:val="0"/>
                <w:sz w:val="18"/>
                <w:szCs w:val="18"/>
                <w:lang w:val="en-US" w:eastAsia="zh-CN"/>
              </w:rPr>
            </w:pPr>
            <w:r>
              <w:rPr>
                <w:rFonts w:hint="default" w:ascii="Times New Roman" w:hAnsi="Times New Roman" w:cs="Times New Roman"/>
                <w:kern w:val="0"/>
                <w:sz w:val="18"/>
                <w:szCs w:val="18"/>
                <w:lang w:val="en-US" w:eastAsia="zh-CN"/>
              </w:rPr>
              <w:t>违反有限空间、登高、用电、焊接等高危作业规定以及</w:t>
            </w:r>
            <w:r>
              <w:rPr>
                <w:rFonts w:hint="default" w:ascii="Times New Roman" w:hAnsi="Times New Roman" w:cs="Times New Roman"/>
                <w:kern w:val="0"/>
                <w:sz w:val="18"/>
                <w:szCs w:val="18"/>
              </w:rPr>
              <w:t>没有特种作业资质证人员进行特种作业</w:t>
            </w:r>
            <w:r>
              <w:rPr>
                <w:rFonts w:hint="default" w:ascii="Times New Roman" w:hAnsi="Times New Roman" w:cs="Times New Roman"/>
                <w:kern w:val="0"/>
                <w:sz w:val="18"/>
                <w:szCs w:val="18"/>
                <w:lang w:val="en-US" w:eastAsia="zh-CN"/>
              </w:rPr>
              <w:t>或操作特种设备</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lang w:val="en-US" w:eastAsia="zh-CN"/>
              </w:rPr>
              <w:t>200-1000</w:t>
            </w:r>
            <w:r>
              <w:rPr>
                <w:rFonts w:hint="default" w:ascii="Times New Roman" w:hAnsi="Times New Roman" w:cs="Times New Roman"/>
                <w:kern w:val="0"/>
                <w:sz w:val="18"/>
                <w:szCs w:val="18"/>
              </w:rPr>
              <w:t>元/人次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22</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起重作业违章</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现场验证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lang w:val="en-US" w:eastAsia="zh-CN"/>
              </w:rPr>
              <w:t>200-500</w:t>
            </w:r>
            <w:r>
              <w:rPr>
                <w:rFonts w:hint="default" w:ascii="Times New Roman" w:hAnsi="Times New Roman" w:cs="Times New Roman"/>
                <w:kern w:val="0"/>
                <w:sz w:val="18"/>
                <w:szCs w:val="18"/>
              </w:rPr>
              <w:t>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23</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擅自拆除、开挖地面，或不按规定设标志、围拦</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现场验证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200元/次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24</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拆除的孔洞盖板、栏杆、隔离层等未及时恢复</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现场验证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300元/次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25</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从事电、火焊作业、使用电动砂轮机具，未按规定使用防护用品</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现场验证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lang w:val="en-US" w:eastAsia="zh-CN"/>
              </w:rPr>
              <w:t>200</w:t>
            </w:r>
            <w:r>
              <w:rPr>
                <w:rFonts w:hint="default" w:ascii="Times New Roman" w:hAnsi="Times New Roman" w:cs="Times New Roman"/>
                <w:kern w:val="0"/>
                <w:sz w:val="18"/>
                <w:szCs w:val="18"/>
              </w:rPr>
              <w:t>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26</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车辆违章驾驶</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200元/次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27</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外包施工、临时工作业无人监护或监护不到位</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lang w:val="en-US" w:eastAsia="zh-CN"/>
              </w:rPr>
              <w:t>200</w:t>
            </w:r>
            <w:r>
              <w:rPr>
                <w:rFonts w:hint="default" w:ascii="Times New Roman" w:hAnsi="Times New Roman" w:cs="Times New Roman"/>
                <w:kern w:val="0"/>
                <w:sz w:val="18"/>
                <w:szCs w:val="18"/>
              </w:rPr>
              <w:t>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28</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外包施工队伍未签订安全协议、未进行安全教育擅自批准开工</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检查手续</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500元/次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29</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未按要求进行班组安全活动</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检查记录</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200元/次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30</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班前会未做安全注意事项交底或班组的工作日志中未体现对外包单位安全交底的完整记录</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检查记录</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200元/次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31</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安全专项活动查出的装置违章、隐患、缺陷应消除而未消除的</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现场验证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200元/处</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32</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重大项目无安全措施或有措施不落实</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200元/次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33</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没有办批准手续而随意变更安全技术措施</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200元/次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34</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设备、零部件拆卸摆放不整齐或未采取有效防护措施</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lang w:val="en-US" w:eastAsia="zh-CN"/>
              </w:rPr>
              <w:t>200</w:t>
            </w:r>
            <w:r>
              <w:rPr>
                <w:rFonts w:hint="default" w:ascii="Times New Roman" w:hAnsi="Times New Roman" w:cs="Times New Roman"/>
                <w:kern w:val="0"/>
                <w:sz w:val="18"/>
                <w:szCs w:val="18"/>
              </w:rPr>
              <w:t>元/处</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35</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检修现场脏、乱、差</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lang w:val="en-US" w:eastAsia="zh-CN"/>
              </w:rPr>
              <w:t>200</w:t>
            </w:r>
            <w:r>
              <w:rPr>
                <w:rFonts w:hint="default" w:ascii="Times New Roman" w:hAnsi="Times New Roman" w:cs="Times New Roman"/>
                <w:kern w:val="0"/>
                <w:sz w:val="18"/>
                <w:szCs w:val="18"/>
              </w:rPr>
              <w:t>元/处</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36</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乱拉乱接电线</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lang w:val="en-US" w:eastAsia="zh-CN"/>
              </w:rPr>
              <w:t>200</w:t>
            </w:r>
            <w:r>
              <w:rPr>
                <w:rFonts w:hint="default" w:ascii="Times New Roman" w:hAnsi="Times New Roman" w:cs="Times New Roman"/>
                <w:kern w:val="0"/>
                <w:sz w:val="18"/>
                <w:szCs w:val="18"/>
              </w:rPr>
              <w:t>元/处</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37</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损坏地面隔离层、瓷砖等</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lang w:val="en-US" w:eastAsia="zh-CN"/>
              </w:rPr>
              <w:t>200</w:t>
            </w:r>
            <w:r>
              <w:rPr>
                <w:rFonts w:hint="default" w:ascii="Times New Roman" w:hAnsi="Times New Roman" w:cs="Times New Roman"/>
                <w:kern w:val="0"/>
                <w:sz w:val="18"/>
                <w:szCs w:val="18"/>
              </w:rPr>
              <w:t>元/处</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38</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管口未按要求封堵；裸露线头不包扎</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lang w:val="en-US" w:eastAsia="zh-CN"/>
              </w:rPr>
              <w:t>200</w:t>
            </w:r>
            <w:r>
              <w:rPr>
                <w:rFonts w:hint="default" w:ascii="Times New Roman" w:hAnsi="Times New Roman" w:cs="Times New Roman"/>
                <w:kern w:val="0"/>
                <w:sz w:val="18"/>
                <w:szCs w:val="18"/>
              </w:rPr>
              <w:t>元/处</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39</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禁烟区域吸烟、乱扔烟头等</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lang w:val="en-US" w:eastAsia="zh-CN"/>
              </w:rPr>
              <w:t>200</w:t>
            </w:r>
            <w:r>
              <w:rPr>
                <w:rFonts w:hint="default" w:ascii="Times New Roman" w:hAnsi="Times New Roman" w:cs="Times New Roman"/>
                <w:kern w:val="0"/>
                <w:sz w:val="18"/>
                <w:szCs w:val="18"/>
              </w:rPr>
              <w:t>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40</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施工剩余的废料、垃圾不按指定地点分类存放；乱倒废油、废液</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200-500元/次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41</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拆包保温未按要求进行，污染现场</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lang w:val="en-US" w:eastAsia="zh-CN"/>
              </w:rPr>
              <w:t>200</w:t>
            </w:r>
            <w:r>
              <w:rPr>
                <w:rFonts w:hint="default" w:ascii="Times New Roman" w:hAnsi="Times New Roman" w:cs="Times New Roman"/>
                <w:kern w:val="0"/>
                <w:sz w:val="18"/>
                <w:szCs w:val="18"/>
              </w:rPr>
              <w:t>-500元/次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42</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管道铁皮拆开后未按顺序竖直摆放或折损变形</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lang w:val="en-US" w:eastAsia="zh-CN"/>
              </w:rPr>
              <w:t>200</w:t>
            </w:r>
            <w:r>
              <w:rPr>
                <w:rFonts w:hint="default" w:ascii="Times New Roman" w:hAnsi="Times New Roman" w:cs="Times New Roman"/>
                <w:kern w:val="0"/>
                <w:sz w:val="18"/>
                <w:szCs w:val="18"/>
              </w:rPr>
              <w:t>元/处</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43</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电气设备绝缘件被踏踩</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lang w:val="en-US" w:eastAsia="zh-CN"/>
              </w:rPr>
              <w:t>200</w:t>
            </w:r>
            <w:r>
              <w:rPr>
                <w:rFonts w:hint="default" w:ascii="Times New Roman" w:hAnsi="Times New Roman" w:cs="Times New Roman"/>
                <w:kern w:val="0"/>
                <w:sz w:val="18"/>
                <w:szCs w:val="18"/>
              </w:rPr>
              <w:t>元/处</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44</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各标志、电缆牌、端子牌不规范</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lang w:val="en-US" w:eastAsia="zh-CN"/>
              </w:rPr>
              <w:t>200</w:t>
            </w:r>
            <w:r>
              <w:rPr>
                <w:rFonts w:hint="default" w:ascii="Times New Roman" w:hAnsi="Times New Roman" w:cs="Times New Roman"/>
                <w:kern w:val="0"/>
                <w:sz w:val="18"/>
                <w:szCs w:val="18"/>
              </w:rPr>
              <w:t>元/处</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45</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电缆、管道敷设布置不规范，标志不齐全</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lang w:val="en-US" w:eastAsia="zh-CN"/>
              </w:rPr>
              <w:t>200</w:t>
            </w:r>
            <w:r>
              <w:rPr>
                <w:rFonts w:hint="default" w:ascii="Times New Roman" w:hAnsi="Times New Roman" w:cs="Times New Roman"/>
                <w:kern w:val="0"/>
                <w:sz w:val="18"/>
                <w:szCs w:val="18"/>
              </w:rPr>
              <w:t>元/处</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46</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拆保温未洒水和装袋，高层保温步道上未铺垫，造成飞尘污染</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lang w:val="en-US" w:eastAsia="zh-CN"/>
              </w:rPr>
              <w:t>200</w:t>
            </w:r>
            <w:r>
              <w:rPr>
                <w:rFonts w:hint="default" w:ascii="Times New Roman" w:hAnsi="Times New Roman" w:cs="Times New Roman"/>
                <w:kern w:val="0"/>
                <w:sz w:val="18"/>
                <w:szCs w:val="18"/>
              </w:rPr>
              <w:t>元/处</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47</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乱砸乱拆保温或损伤抹面、敷层</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lang w:val="en-US" w:eastAsia="zh-CN"/>
              </w:rPr>
              <w:t>200</w:t>
            </w:r>
            <w:r>
              <w:rPr>
                <w:rFonts w:hint="default" w:ascii="Times New Roman" w:hAnsi="Times New Roman" w:cs="Times New Roman"/>
                <w:kern w:val="0"/>
                <w:sz w:val="18"/>
                <w:szCs w:val="18"/>
              </w:rPr>
              <w:t>元/处</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rPr>
              <w:t>2</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48</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作业、施工现场达不到工完料净场地清</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lang w:val="en-US" w:eastAsia="zh-CN"/>
              </w:rPr>
              <w:t>200</w:t>
            </w:r>
            <w:r>
              <w:rPr>
                <w:rFonts w:hint="default" w:ascii="Times New Roman" w:hAnsi="Times New Roman" w:cs="Times New Roman"/>
                <w:kern w:val="0"/>
                <w:sz w:val="18"/>
                <w:szCs w:val="18"/>
              </w:rPr>
              <w:t>元/处</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kern w:val="0"/>
                <w:sz w:val="18"/>
                <w:szCs w:val="18"/>
                <w:lang w:val="en-US" w:eastAsia="zh-CN"/>
              </w:rPr>
            </w:pPr>
            <w:r>
              <w:rPr>
                <w:rFonts w:hint="default" w:ascii="Times New Roman" w:hAnsi="Times New Roman" w:cs="Times New Roman"/>
                <w:b/>
                <w:bCs/>
                <w:kern w:val="0"/>
                <w:sz w:val="18"/>
                <w:szCs w:val="18"/>
                <w:lang w:val="en-US" w:eastAsia="zh-CN"/>
              </w:rPr>
              <w:t>2.49</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eastAsia="宋体" w:cs="Times New Roman"/>
                <w:color w:val="auto"/>
                <w:kern w:val="0"/>
                <w:sz w:val="18"/>
                <w:szCs w:val="18"/>
                <w:lang w:eastAsia="zh-CN"/>
              </w:rPr>
            </w:pPr>
            <w:r>
              <w:rPr>
                <w:rFonts w:hint="default" w:ascii="Times New Roman" w:hAnsi="Times New Roman" w:cs="Times New Roman"/>
                <w:color w:val="auto"/>
                <w:kern w:val="0"/>
                <w:sz w:val="18"/>
                <w:szCs w:val="18"/>
                <w:lang w:eastAsia="zh-CN"/>
              </w:rPr>
              <w:t>拆除的安全防范措施（平台、栏杆、格栅板、吊装孔等）没有及时申请许可就拆除；拆除无临时安全措施、拆除后未按计划、安全要求进行恢复；验收确认不认真。</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lang w:val="en-US" w:eastAsia="zh-CN"/>
              </w:rPr>
              <w:t>200-500</w:t>
            </w:r>
            <w:r>
              <w:rPr>
                <w:rFonts w:hint="default" w:ascii="Times New Roman" w:hAnsi="Times New Roman" w:cs="Times New Roman"/>
                <w:color w:val="auto"/>
                <w:kern w:val="0"/>
                <w:sz w:val="18"/>
                <w:szCs w:val="18"/>
              </w:rPr>
              <w:t>元/处</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lang w:val="en-US" w:eastAsia="zh-CN"/>
              </w:rPr>
            </w:pPr>
            <w:r>
              <w:rPr>
                <w:rFonts w:hint="default" w:ascii="Times New Roman" w:hAnsi="Times New Roman" w:cs="Times New Roman"/>
                <w:b/>
                <w:bCs/>
                <w:kern w:val="0"/>
                <w:sz w:val="18"/>
                <w:szCs w:val="18"/>
                <w:lang w:val="en-US" w:eastAsia="zh-CN"/>
              </w:rPr>
              <w:t>2.50</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color w:val="auto"/>
                <w:kern w:val="0"/>
                <w:sz w:val="18"/>
                <w:szCs w:val="18"/>
                <w:lang w:val="en-US" w:eastAsia="zh-CN"/>
              </w:rPr>
            </w:pPr>
            <w:r>
              <w:rPr>
                <w:rFonts w:hint="default" w:ascii="Times New Roman" w:hAnsi="Times New Roman" w:cs="Times New Roman"/>
                <w:color w:val="auto"/>
                <w:kern w:val="0"/>
                <w:sz w:val="18"/>
                <w:szCs w:val="18"/>
                <w:lang w:val="en-US" w:eastAsia="zh-CN"/>
              </w:rPr>
              <w:t>安全管理人员不到位或擅自离场</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eastAsia="宋体" w:cs="Times New Roman"/>
                <w:color w:val="auto"/>
                <w:kern w:val="0"/>
                <w:sz w:val="18"/>
                <w:szCs w:val="18"/>
                <w:lang w:val="en-US" w:eastAsia="zh-CN"/>
              </w:rPr>
            </w:pPr>
            <w:r>
              <w:rPr>
                <w:rFonts w:hint="default" w:ascii="Times New Roman" w:hAnsi="Times New Roman" w:cs="Times New Roman"/>
                <w:color w:val="auto"/>
                <w:kern w:val="0"/>
                <w:sz w:val="18"/>
                <w:szCs w:val="18"/>
              </w:rPr>
              <w:t>现场见证</w:t>
            </w:r>
            <w:r>
              <w:rPr>
                <w:rFonts w:hint="default" w:ascii="Times New Roman" w:hAnsi="Times New Roman" w:cs="Times New Roman"/>
                <w:color w:val="auto"/>
                <w:kern w:val="0"/>
                <w:sz w:val="18"/>
                <w:szCs w:val="18"/>
                <w:lang w:eastAsia="zh-CN"/>
              </w:rPr>
              <w:t>、</w:t>
            </w:r>
            <w:r>
              <w:rPr>
                <w:rFonts w:hint="default" w:ascii="Times New Roman" w:hAnsi="Times New Roman" w:cs="Times New Roman"/>
                <w:color w:val="auto"/>
                <w:kern w:val="0"/>
                <w:sz w:val="18"/>
                <w:szCs w:val="18"/>
                <w:lang w:val="en-US" w:eastAsia="zh-CN"/>
              </w:rPr>
              <w:t>调查</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kern w:val="0"/>
                <w:sz w:val="18"/>
                <w:szCs w:val="18"/>
                <w:lang w:val="en-US" w:eastAsia="zh-CN"/>
              </w:rPr>
            </w:pPr>
            <w:r>
              <w:rPr>
                <w:rFonts w:hint="default" w:ascii="Times New Roman" w:hAnsi="Times New Roman" w:cs="Times New Roman"/>
                <w:color w:val="auto"/>
                <w:kern w:val="0"/>
                <w:sz w:val="18"/>
                <w:szCs w:val="18"/>
                <w:lang w:val="en-US" w:eastAsia="zh-CN"/>
              </w:rPr>
              <w:t>1000元/天</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0"/>
                <w:sz w:val="18"/>
                <w:szCs w:val="18"/>
                <w:lang w:val="en-US" w:eastAsia="zh-CN"/>
              </w:rPr>
            </w:pPr>
            <w:r>
              <w:rPr>
                <w:rFonts w:hint="default" w:ascii="Times New Roman" w:hAnsi="Times New Roman" w:cs="Times New Roman"/>
                <w:color w:val="auto"/>
                <w:kern w:val="0"/>
                <w:sz w:val="18"/>
                <w:szCs w:val="18"/>
                <w:lang w:val="en-US" w:eastAsia="zh-CN"/>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lang w:val="en-US" w:eastAsia="zh-CN"/>
              </w:rPr>
            </w:pPr>
            <w:r>
              <w:rPr>
                <w:rFonts w:hint="default" w:ascii="Times New Roman" w:hAnsi="Times New Roman" w:cs="Times New Roman"/>
                <w:b/>
                <w:bCs/>
                <w:kern w:val="0"/>
                <w:sz w:val="18"/>
                <w:szCs w:val="18"/>
                <w:lang w:val="en-US" w:eastAsia="zh-CN"/>
              </w:rPr>
              <w:t>2.51</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color w:val="auto"/>
                <w:kern w:val="0"/>
                <w:sz w:val="18"/>
                <w:szCs w:val="18"/>
                <w:lang w:val="en-US" w:eastAsia="zh-CN"/>
              </w:rPr>
            </w:pPr>
            <w:r>
              <w:rPr>
                <w:rFonts w:hint="default" w:ascii="Times New Roman" w:hAnsi="Times New Roman" w:cs="Times New Roman"/>
                <w:color w:val="auto"/>
                <w:kern w:val="0"/>
                <w:sz w:val="18"/>
                <w:szCs w:val="18"/>
                <w:lang w:val="en-US" w:eastAsia="zh-CN"/>
              </w:rPr>
              <w:t>作业现场文明形象差</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textAlignment w:val="auto"/>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color w:val="auto"/>
                <w:kern w:val="0"/>
                <w:sz w:val="18"/>
                <w:szCs w:val="18"/>
                <w:lang w:val="en-US" w:eastAsia="zh-CN"/>
              </w:rPr>
            </w:pPr>
            <w:r>
              <w:rPr>
                <w:rFonts w:hint="default" w:ascii="Times New Roman" w:hAnsi="Times New Roman" w:cs="Times New Roman"/>
                <w:color w:val="auto"/>
                <w:kern w:val="0"/>
                <w:sz w:val="18"/>
                <w:szCs w:val="18"/>
                <w:lang w:val="en-US" w:eastAsia="zh-CN"/>
              </w:rPr>
              <w:t>200-500</w:t>
            </w:r>
            <w:r>
              <w:rPr>
                <w:rFonts w:hint="default" w:ascii="Times New Roman" w:hAnsi="Times New Roman" w:cs="Times New Roman"/>
                <w:color w:val="auto"/>
                <w:kern w:val="0"/>
                <w:sz w:val="18"/>
                <w:szCs w:val="18"/>
              </w:rPr>
              <w:t>元/处</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color w:val="auto"/>
                <w:kern w:val="0"/>
                <w:sz w:val="18"/>
                <w:szCs w:val="18"/>
              </w:rPr>
            </w:pPr>
            <w:r>
              <w:rPr>
                <w:rFonts w:hint="default" w:ascii="Times New Roman" w:hAnsi="Times New Roman" w:cs="Times New Roman"/>
                <w:color w:val="auto"/>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lang w:val="en-US"/>
              </w:rPr>
            </w:pPr>
            <w:r>
              <w:rPr>
                <w:rFonts w:hint="default" w:ascii="Times New Roman" w:hAnsi="Times New Roman" w:cs="Times New Roman"/>
                <w:b/>
                <w:bCs/>
                <w:kern w:val="0"/>
                <w:sz w:val="18"/>
                <w:szCs w:val="18"/>
                <w:lang w:val="en-US" w:eastAsia="zh-CN"/>
              </w:rPr>
              <w:t>3</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left"/>
              <w:textAlignment w:val="auto"/>
              <w:rPr>
                <w:rFonts w:hint="default" w:ascii="Times New Roman" w:hAnsi="Times New Roman" w:eastAsia="宋体" w:cs="Times New Roman"/>
                <w:kern w:val="0"/>
                <w:sz w:val="18"/>
                <w:szCs w:val="18"/>
                <w:lang w:eastAsia="zh-CN"/>
              </w:rPr>
            </w:pPr>
            <w:r>
              <w:rPr>
                <w:rFonts w:hint="default" w:ascii="Times New Roman" w:hAnsi="Times New Roman" w:cs="Times New Roman"/>
                <w:b/>
                <w:bCs/>
                <w:kern w:val="0"/>
                <w:sz w:val="18"/>
                <w:szCs w:val="18"/>
                <w:lang w:eastAsia="zh-CN"/>
              </w:rPr>
              <w:t>环境保护</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left"/>
              <w:textAlignment w:val="auto"/>
              <w:rPr>
                <w:rFonts w:hint="default" w:ascii="Times New Roman" w:hAnsi="Times New Roman" w:cs="Times New Roman"/>
                <w:kern w:val="0"/>
                <w:sz w:val="18"/>
                <w:szCs w:val="18"/>
              </w:rPr>
            </w:pP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left"/>
              <w:textAlignment w:val="auto"/>
              <w:rPr>
                <w:rFonts w:hint="default" w:ascii="Times New Roman" w:hAnsi="Times New Roman" w:cs="Times New Roman"/>
                <w:kern w:val="0"/>
                <w:sz w:val="18"/>
                <w:szCs w:val="18"/>
              </w:rPr>
            </w:pP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left"/>
              <w:textAlignment w:val="auto"/>
              <w:rPr>
                <w:rFonts w:hint="default" w:ascii="Times New Roman" w:hAnsi="Times New Roman" w:cs="Times New Roman"/>
                <w:kern w:val="0"/>
                <w:sz w:val="18"/>
                <w:szCs w:val="18"/>
              </w:rPr>
            </w:pP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kern w:val="0"/>
                <w:sz w:val="18"/>
                <w:szCs w:val="18"/>
                <w:lang w:val="en-US" w:eastAsia="zh-CN"/>
              </w:rPr>
            </w:pPr>
            <w:r>
              <w:rPr>
                <w:rFonts w:hint="default" w:ascii="Times New Roman" w:hAnsi="Times New Roman" w:cs="Times New Roman"/>
                <w:b/>
                <w:bCs/>
                <w:kern w:val="0"/>
                <w:sz w:val="18"/>
                <w:szCs w:val="18"/>
                <w:lang w:val="en-US" w:eastAsia="zh-CN"/>
              </w:rPr>
              <w:t>3.1</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textAlignment w:val="auto"/>
              <w:outlineLvl w:val="1"/>
              <w:rPr>
                <w:rFonts w:hint="default" w:ascii="Times New Roman" w:hAnsi="Times New Roman" w:cs="Times New Roman"/>
                <w:kern w:val="0"/>
                <w:sz w:val="18"/>
                <w:szCs w:val="18"/>
              </w:rPr>
            </w:pPr>
            <w:r>
              <w:rPr>
                <w:rFonts w:hint="default" w:ascii="Times New Roman" w:hAnsi="Times New Roman" w:eastAsia="宋体" w:cs="Times New Roman"/>
                <w:color w:val="auto"/>
                <w:kern w:val="0"/>
                <w:sz w:val="18"/>
                <w:szCs w:val="18"/>
              </w:rPr>
              <w:t>油、含油废液等进入雨水系统造成外排水水质异常</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jc w:val="both"/>
              <w:textAlignment w:val="auto"/>
              <w:outlineLvl w:val="1"/>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lang w:eastAsia="zh-CN"/>
              </w:rPr>
              <w:t>现场见证（</w:t>
            </w:r>
            <w:r>
              <w:rPr>
                <w:rFonts w:hint="default" w:ascii="Times New Roman" w:hAnsi="Times New Roman" w:cs="Times New Roman"/>
                <w:snapToGrid w:val="0"/>
                <w:color w:val="auto"/>
                <w:kern w:val="0"/>
                <w:sz w:val="18"/>
                <w:szCs w:val="18"/>
              </w:rPr>
              <w:t>视污染程度</w:t>
            </w:r>
            <w:r>
              <w:rPr>
                <w:rFonts w:hint="default" w:ascii="Times New Roman" w:hAnsi="Times New Roman" w:cs="Times New Roman"/>
                <w:snapToGrid w:val="0"/>
                <w:color w:val="auto"/>
                <w:kern w:val="0"/>
                <w:sz w:val="18"/>
                <w:szCs w:val="18"/>
                <w:lang w:eastAsia="zh-CN"/>
              </w:rPr>
              <w:t>）</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责任单位</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500-2000元/次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kern w:val="0"/>
                <w:sz w:val="18"/>
                <w:szCs w:val="18"/>
                <w:lang w:val="en-US" w:eastAsia="zh-CN"/>
              </w:rPr>
            </w:pPr>
            <w:r>
              <w:rPr>
                <w:rFonts w:hint="default" w:ascii="Times New Roman" w:hAnsi="Times New Roman" w:cs="Times New Roman"/>
                <w:b/>
                <w:bCs/>
                <w:kern w:val="0"/>
                <w:sz w:val="18"/>
                <w:szCs w:val="18"/>
                <w:lang w:val="en-US" w:eastAsia="zh-CN"/>
              </w:rPr>
              <w:t>3.2</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textAlignment w:val="auto"/>
              <w:outlineLvl w:val="1"/>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石灰石及石膏浆液，燃煤、白泥、灰渣冲洗水等进入雨水系统发生</w:t>
            </w:r>
            <w:r>
              <w:rPr>
                <w:rFonts w:hint="default" w:ascii="Times New Roman" w:hAnsi="Times New Roman" w:cs="Times New Roman"/>
                <w:snapToGrid w:val="0"/>
                <w:color w:val="auto"/>
                <w:kern w:val="0"/>
                <w:sz w:val="18"/>
                <w:szCs w:val="18"/>
                <w:lang w:val="en-US" w:eastAsia="zh-CN"/>
              </w:rPr>
              <w:t>水</w:t>
            </w:r>
            <w:r>
              <w:rPr>
                <w:rFonts w:hint="default" w:ascii="Times New Roman" w:hAnsi="Times New Roman" w:cs="Times New Roman"/>
                <w:snapToGrid w:val="0"/>
                <w:color w:val="auto"/>
                <w:kern w:val="0"/>
                <w:sz w:val="18"/>
                <w:szCs w:val="18"/>
              </w:rPr>
              <w:t>污染事件</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both"/>
              <w:textAlignment w:val="auto"/>
              <w:outlineLvl w:val="1"/>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lang w:eastAsia="zh-CN"/>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相关部门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500-1000元/次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kern w:val="0"/>
                <w:sz w:val="18"/>
                <w:szCs w:val="18"/>
                <w:lang w:val="en-US" w:eastAsia="zh-CN"/>
              </w:rPr>
            </w:pPr>
            <w:r>
              <w:rPr>
                <w:rFonts w:hint="default" w:ascii="Times New Roman" w:hAnsi="Times New Roman" w:cs="Times New Roman"/>
                <w:b/>
                <w:bCs/>
                <w:kern w:val="0"/>
                <w:sz w:val="18"/>
                <w:szCs w:val="18"/>
                <w:lang w:val="en-US" w:eastAsia="zh-CN"/>
              </w:rPr>
              <w:t>3.3</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清扫责任区域清洁时，未采取措施造成</w:t>
            </w:r>
            <w:r>
              <w:rPr>
                <w:rFonts w:hint="default" w:ascii="Times New Roman" w:hAnsi="Times New Roman" w:eastAsia="宋体" w:cs="Times New Roman"/>
                <w:snapToGrid w:val="0"/>
                <w:color w:val="auto"/>
                <w:kern w:val="0"/>
                <w:sz w:val="18"/>
                <w:szCs w:val="18"/>
              </w:rPr>
              <w:t>废水进入雨水系统造成外排水水质异常</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both"/>
              <w:textAlignment w:val="auto"/>
              <w:outlineLvl w:val="1"/>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lang w:eastAsia="zh-CN"/>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500-1000元/次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kern w:val="0"/>
                <w:sz w:val="18"/>
                <w:szCs w:val="18"/>
                <w:lang w:val="en-US" w:eastAsia="zh-CN" w:bidi="ar-SA"/>
              </w:rPr>
            </w:pPr>
            <w:r>
              <w:rPr>
                <w:rFonts w:hint="default" w:ascii="Times New Roman" w:hAnsi="Times New Roman" w:cs="Times New Roman"/>
                <w:b/>
                <w:bCs/>
                <w:kern w:val="0"/>
                <w:sz w:val="18"/>
                <w:szCs w:val="18"/>
                <w:lang w:val="en-US" w:eastAsia="zh-CN"/>
              </w:rPr>
              <w:t>3.4</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eastAsia="宋体" w:cs="Times New Roman"/>
                <w:snapToGrid w:val="0"/>
                <w:color w:val="auto"/>
                <w:kern w:val="0"/>
                <w:sz w:val="18"/>
                <w:szCs w:val="18"/>
              </w:rPr>
              <w:t>检修维护不当或不正常使用降噪设备、措 施，造成厂界噪声超标</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both"/>
              <w:textAlignment w:val="auto"/>
              <w:outlineLvl w:val="1"/>
              <w:rPr>
                <w:rFonts w:hint="default" w:ascii="Times New Roman" w:hAnsi="Times New Roman" w:cs="Times New Roman"/>
                <w:snapToGrid w:val="0"/>
                <w:color w:val="auto"/>
                <w:kern w:val="0"/>
                <w:sz w:val="18"/>
                <w:szCs w:val="18"/>
                <w:lang w:eastAsia="zh-CN"/>
              </w:rPr>
            </w:pPr>
            <w:r>
              <w:rPr>
                <w:rFonts w:hint="default" w:ascii="Times New Roman" w:hAnsi="Times New Roman" w:cs="Times New Roman"/>
                <w:snapToGrid w:val="0"/>
                <w:color w:val="auto"/>
                <w:kern w:val="0"/>
                <w:sz w:val="18"/>
                <w:szCs w:val="18"/>
                <w:lang w:eastAsia="zh-CN"/>
              </w:rPr>
              <w:t>现场见证或经根据调查确证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kern w:val="0"/>
                <w:sz w:val="18"/>
                <w:szCs w:val="18"/>
                <w:lang w:val="en-US" w:eastAsia="zh-CN" w:bidi="ar-SA"/>
              </w:rPr>
            </w:pPr>
            <w:r>
              <w:rPr>
                <w:rFonts w:hint="default" w:ascii="Times New Roman" w:hAnsi="Times New Roman" w:cs="Times New Roman"/>
                <w:snapToGrid w:val="0"/>
                <w:color w:val="auto"/>
                <w:kern w:val="0"/>
                <w:sz w:val="18"/>
                <w:szCs w:val="18"/>
                <w:lang w:val="en-US" w:eastAsia="zh-CN"/>
              </w:rPr>
              <w:t>200</w:t>
            </w:r>
            <w:r>
              <w:rPr>
                <w:rFonts w:hint="default" w:ascii="Times New Roman" w:hAnsi="Times New Roman" w:cs="Times New Roman"/>
                <w:snapToGrid w:val="0"/>
                <w:color w:val="auto"/>
                <w:kern w:val="0"/>
                <w:sz w:val="18"/>
                <w:szCs w:val="18"/>
              </w:rPr>
              <w:t>-500元/次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2"/>
                <w:sz w:val="18"/>
                <w:szCs w:val="18"/>
                <w:lang w:val="en-US" w:eastAsia="zh-CN" w:bidi="ar-SA"/>
              </w:rPr>
            </w:pPr>
            <w:r>
              <w:rPr>
                <w:rFonts w:hint="default" w:ascii="Times New Roman" w:hAnsi="Times New Roman" w:cs="Times New Roman"/>
                <w:kern w:val="0"/>
                <w:sz w:val="18"/>
                <w:szCs w:val="18"/>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kern w:val="0"/>
                <w:sz w:val="18"/>
                <w:szCs w:val="18"/>
                <w:lang w:val="en-US" w:eastAsia="zh-CN" w:bidi="ar-SA"/>
              </w:rPr>
            </w:pPr>
            <w:r>
              <w:rPr>
                <w:rFonts w:hint="default" w:ascii="Times New Roman" w:hAnsi="Times New Roman" w:cs="Times New Roman"/>
                <w:b/>
                <w:bCs/>
                <w:kern w:val="0"/>
                <w:sz w:val="18"/>
                <w:szCs w:val="18"/>
                <w:lang w:val="en-US" w:eastAsia="zh-CN"/>
              </w:rPr>
              <w:t>3.5</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textAlignment w:val="auto"/>
              <w:outlineLvl w:val="1"/>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违反运行规程使用环保设施，或者不按检修规程进行检修和维护，致使环保设备不能正常运行</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both"/>
              <w:textAlignment w:val="auto"/>
              <w:outlineLvl w:val="1"/>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lang w:eastAsia="zh-CN"/>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200-1000元/次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kern w:val="0"/>
                <w:sz w:val="18"/>
                <w:szCs w:val="18"/>
                <w:lang w:val="en-US" w:eastAsia="zh-CN" w:bidi="ar-SA"/>
              </w:rPr>
            </w:pPr>
            <w:r>
              <w:rPr>
                <w:rFonts w:hint="default" w:ascii="Times New Roman" w:hAnsi="Times New Roman" w:cs="Times New Roman"/>
                <w:b/>
                <w:bCs/>
                <w:kern w:val="0"/>
                <w:sz w:val="18"/>
                <w:szCs w:val="18"/>
                <w:lang w:val="en-US" w:eastAsia="zh-CN"/>
              </w:rPr>
              <w:t>3.6</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textAlignment w:val="auto"/>
              <w:outlineLvl w:val="1"/>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对环保设备“跑、冒、滴、漏”消缺不及时</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both"/>
              <w:textAlignment w:val="auto"/>
              <w:outlineLvl w:val="1"/>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lang w:eastAsia="zh-CN"/>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lang w:val="en-US" w:eastAsia="zh-CN"/>
              </w:rPr>
              <w:t>200</w:t>
            </w:r>
            <w:r>
              <w:rPr>
                <w:rFonts w:hint="default" w:ascii="Times New Roman" w:hAnsi="Times New Roman" w:cs="Times New Roman"/>
                <w:snapToGrid w:val="0"/>
                <w:color w:val="auto"/>
                <w:kern w:val="0"/>
                <w:sz w:val="18"/>
                <w:szCs w:val="18"/>
              </w:rPr>
              <w:t>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kern w:val="0"/>
                <w:sz w:val="18"/>
                <w:szCs w:val="18"/>
                <w:lang w:val="en-US" w:eastAsia="zh-CN" w:bidi="ar-SA"/>
              </w:rPr>
            </w:pPr>
            <w:r>
              <w:rPr>
                <w:rFonts w:hint="default" w:ascii="Times New Roman" w:hAnsi="Times New Roman" w:cs="Times New Roman"/>
                <w:b/>
                <w:bCs/>
                <w:kern w:val="0"/>
                <w:sz w:val="18"/>
                <w:szCs w:val="18"/>
                <w:lang w:val="en-US" w:eastAsia="zh-CN"/>
              </w:rPr>
              <w:t>3.7</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eastAsia="宋体" w:cs="Times New Roman"/>
                <w:snapToGrid w:val="0"/>
                <w:color w:val="auto"/>
                <w:kern w:val="0"/>
                <w:sz w:val="18"/>
                <w:szCs w:val="18"/>
              </w:rPr>
              <w:t>环保设备设施检修前后的台账、记录不齐 全不完全、准确</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both"/>
              <w:textAlignment w:val="auto"/>
              <w:outlineLvl w:val="1"/>
              <w:rPr>
                <w:rFonts w:hint="default" w:ascii="Times New Roman" w:hAnsi="Times New Roman" w:cs="Times New Roman"/>
                <w:snapToGrid w:val="0"/>
                <w:color w:val="auto"/>
                <w:kern w:val="0"/>
                <w:sz w:val="18"/>
                <w:szCs w:val="18"/>
                <w:lang w:eastAsia="zh-CN"/>
              </w:rPr>
            </w:pPr>
            <w:r>
              <w:rPr>
                <w:rFonts w:hint="default" w:ascii="Times New Roman" w:hAnsi="Times New Roman" w:cs="Times New Roman"/>
                <w:snapToGrid w:val="0"/>
                <w:color w:val="auto"/>
                <w:kern w:val="0"/>
                <w:sz w:val="18"/>
                <w:szCs w:val="18"/>
                <w:lang w:eastAsia="zh-CN"/>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kern w:val="0"/>
                <w:sz w:val="18"/>
                <w:szCs w:val="18"/>
                <w:lang w:val="en-US" w:eastAsia="zh-CN" w:bidi="ar-SA"/>
              </w:rPr>
            </w:pPr>
            <w:r>
              <w:rPr>
                <w:rFonts w:hint="default" w:ascii="Times New Roman" w:hAnsi="Times New Roman" w:cs="Times New Roman"/>
                <w:snapToGrid w:val="0"/>
                <w:color w:val="auto"/>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kern w:val="0"/>
                <w:sz w:val="18"/>
                <w:szCs w:val="18"/>
                <w:lang w:val="en-US" w:eastAsia="zh-CN" w:bidi="ar-SA"/>
              </w:rPr>
            </w:pPr>
            <w:r>
              <w:rPr>
                <w:rFonts w:hint="default" w:ascii="Times New Roman" w:hAnsi="Times New Roman" w:cs="Times New Roman"/>
                <w:snapToGrid w:val="0"/>
                <w:color w:val="auto"/>
                <w:kern w:val="0"/>
                <w:sz w:val="18"/>
                <w:szCs w:val="18"/>
                <w:lang w:val="en-US" w:eastAsia="zh-CN"/>
              </w:rPr>
              <w:t>200-200</w:t>
            </w:r>
            <w:r>
              <w:rPr>
                <w:rFonts w:hint="default" w:ascii="Times New Roman" w:hAnsi="Times New Roman" w:cs="Times New Roman"/>
                <w:snapToGrid w:val="0"/>
                <w:color w:val="auto"/>
                <w:kern w:val="0"/>
                <w:sz w:val="18"/>
                <w:szCs w:val="18"/>
              </w:rPr>
              <w:t>0元/次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2"/>
                <w:sz w:val="18"/>
                <w:szCs w:val="18"/>
                <w:lang w:val="en-US" w:eastAsia="zh-CN" w:bidi="ar-SA"/>
              </w:rPr>
            </w:pPr>
            <w:r>
              <w:rPr>
                <w:rFonts w:hint="default" w:ascii="Times New Roman" w:hAnsi="Times New Roman" w:cs="Times New Roman"/>
                <w:kern w:val="0"/>
                <w:sz w:val="18"/>
                <w:szCs w:val="18"/>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kern w:val="0"/>
                <w:sz w:val="18"/>
                <w:szCs w:val="18"/>
                <w:lang w:val="en-US" w:eastAsia="zh-CN" w:bidi="ar-SA"/>
              </w:rPr>
            </w:pPr>
            <w:r>
              <w:rPr>
                <w:rFonts w:hint="default" w:ascii="Times New Roman" w:hAnsi="Times New Roman" w:cs="Times New Roman"/>
                <w:b/>
                <w:bCs/>
                <w:kern w:val="0"/>
                <w:sz w:val="18"/>
                <w:szCs w:val="18"/>
                <w:lang w:val="en-US" w:eastAsia="zh-CN"/>
              </w:rPr>
              <w:t>3.8</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textAlignment w:val="auto"/>
              <w:outlineLvl w:val="1"/>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将生活垃圾混入到工业垃圾</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both"/>
              <w:textAlignment w:val="auto"/>
              <w:outlineLvl w:val="1"/>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lang w:eastAsia="zh-CN"/>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kern w:val="0"/>
                <w:sz w:val="18"/>
                <w:szCs w:val="18"/>
                <w:lang w:val="en-US" w:eastAsia="zh-CN" w:bidi="ar-SA"/>
              </w:rPr>
            </w:pPr>
            <w:r>
              <w:rPr>
                <w:rFonts w:hint="default" w:ascii="Times New Roman" w:hAnsi="Times New Roman" w:cs="Times New Roman"/>
                <w:snapToGrid w:val="0"/>
                <w:color w:val="auto"/>
                <w:kern w:val="0"/>
                <w:sz w:val="18"/>
                <w:szCs w:val="18"/>
                <w:lang w:val="en-US" w:eastAsia="zh-CN"/>
              </w:rPr>
              <w:t>200</w:t>
            </w:r>
            <w:r>
              <w:rPr>
                <w:rFonts w:hint="default" w:ascii="Times New Roman" w:hAnsi="Times New Roman" w:cs="Times New Roman"/>
                <w:snapToGrid w:val="0"/>
                <w:color w:val="auto"/>
                <w:kern w:val="0"/>
                <w:sz w:val="18"/>
                <w:szCs w:val="18"/>
              </w:rPr>
              <w:t>-500元/次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2"/>
                <w:sz w:val="18"/>
                <w:szCs w:val="18"/>
                <w:lang w:val="en-US" w:eastAsia="zh-CN" w:bidi="ar-SA"/>
              </w:rPr>
            </w:pPr>
            <w:r>
              <w:rPr>
                <w:rFonts w:hint="default" w:ascii="Times New Roman" w:hAnsi="Times New Roman" w:cs="Times New Roman"/>
                <w:kern w:val="0"/>
                <w:sz w:val="18"/>
                <w:szCs w:val="18"/>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kern w:val="0"/>
                <w:sz w:val="18"/>
                <w:szCs w:val="18"/>
                <w:lang w:val="en-US" w:eastAsia="zh-CN" w:bidi="ar-SA"/>
              </w:rPr>
            </w:pPr>
            <w:r>
              <w:rPr>
                <w:rFonts w:hint="default" w:ascii="Times New Roman" w:hAnsi="Times New Roman" w:cs="Times New Roman"/>
                <w:b/>
                <w:bCs/>
                <w:kern w:val="0"/>
                <w:sz w:val="18"/>
                <w:szCs w:val="18"/>
                <w:lang w:val="en-US" w:eastAsia="zh-CN"/>
              </w:rPr>
              <w:t>3.9</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textAlignment w:val="auto"/>
              <w:outlineLvl w:val="1"/>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不按《危险废物管理标准》规定申报审批，随意处置造成危险废物泄漏、倾倒或</w:t>
            </w:r>
            <w:r>
              <w:rPr>
                <w:rFonts w:hint="default" w:ascii="Times New Roman" w:hAnsi="Times New Roman" w:cs="Times New Roman"/>
                <w:snapToGrid w:val="0"/>
                <w:color w:val="auto"/>
                <w:kern w:val="0"/>
                <w:sz w:val="18"/>
                <w:szCs w:val="18"/>
                <w:lang w:val="en-US" w:eastAsia="zh-CN"/>
              </w:rPr>
              <w:t>抛撒</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jc w:val="both"/>
              <w:textAlignment w:val="auto"/>
              <w:outlineLvl w:val="1"/>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lang w:eastAsia="zh-CN"/>
              </w:rPr>
              <w:t>现场见证或经根据调查确证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500元/次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kern w:val="0"/>
                <w:sz w:val="18"/>
                <w:szCs w:val="18"/>
                <w:lang w:val="en-US" w:eastAsia="zh-CN" w:bidi="ar-SA"/>
              </w:rPr>
            </w:pPr>
            <w:r>
              <w:rPr>
                <w:rFonts w:hint="default" w:ascii="Times New Roman" w:hAnsi="Times New Roman" w:cs="Times New Roman"/>
                <w:b/>
                <w:bCs/>
                <w:kern w:val="0"/>
                <w:sz w:val="18"/>
                <w:szCs w:val="18"/>
                <w:lang w:val="en-US" w:eastAsia="zh-CN"/>
              </w:rPr>
              <w:t>3.10</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textAlignment w:val="auto"/>
              <w:outlineLvl w:val="1"/>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不按《危险废物管理标准》规定</w:t>
            </w:r>
            <w:r>
              <w:rPr>
                <w:rFonts w:hint="default" w:ascii="Times New Roman" w:hAnsi="Times New Roman" w:cs="Times New Roman"/>
                <w:snapToGrid w:val="0"/>
                <w:color w:val="auto"/>
                <w:kern w:val="0"/>
                <w:sz w:val="18"/>
                <w:szCs w:val="18"/>
                <w:lang w:val="en-US" w:eastAsia="zh-CN"/>
              </w:rPr>
              <w:t>进行</w:t>
            </w:r>
            <w:r>
              <w:rPr>
                <w:rFonts w:hint="default" w:ascii="Times New Roman" w:hAnsi="Times New Roman" w:cs="Times New Roman"/>
                <w:snapToGrid w:val="0"/>
                <w:color w:val="auto"/>
                <w:kern w:val="0"/>
                <w:sz w:val="18"/>
                <w:szCs w:val="18"/>
              </w:rPr>
              <w:t>收集、标识、</w:t>
            </w:r>
            <w:r>
              <w:rPr>
                <w:rFonts w:hint="default" w:ascii="Times New Roman" w:hAnsi="Times New Roman" w:cs="Times New Roman"/>
                <w:snapToGrid w:val="0"/>
                <w:color w:val="auto"/>
                <w:kern w:val="0"/>
                <w:sz w:val="18"/>
                <w:szCs w:val="18"/>
                <w:lang w:val="en-US" w:eastAsia="zh-CN"/>
              </w:rPr>
              <w:t>转运</w:t>
            </w:r>
            <w:r>
              <w:rPr>
                <w:rFonts w:hint="default" w:ascii="Times New Roman" w:hAnsi="Times New Roman" w:cs="Times New Roman"/>
                <w:snapToGrid w:val="0"/>
                <w:color w:val="auto"/>
                <w:kern w:val="0"/>
                <w:sz w:val="18"/>
                <w:szCs w:val="18"/>
              </w:rPr>
              <w:t>、贮存</w:t>
            </w:r>
            <w:r>
              <w:rPr>
                <w:rFonts w:hint="default" w:ascii="Times New Roman" w:hAnsi="Times New Roman" w:cs="Times New Roman"/>
                <w:snapToGrid w:val="0"/>
                <w:color w:val="auto"/>
                <w:kern w:val="0"/>
                <w:sz w:val="18"/>
                <w:szCs w:val="18"/>
                <w:lang w:eastAsia="zh-CN"/>
              </w:rPr>
              <w:t>、</w:t>
            </w:r>
            <w:r>
              <w:rPr>
                <w:rFonts w:hint="default" w:ascii="Times New Roman" w:hAnsi="Times New Roman" w:cs="Times New Roman"/>
                <w:snapToGrid w:val="0"/>
                <w:color w:val="auto"/>
                <w:kern w:val="0"/>
                <w:sz w:val="18"/>
                <w:szCs w:val="18"/>
              </w:rPr>
              <w:t>转移危险废物</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jc w:val="both"/>
              <w:textAlignment w:val="auto"/>
              <w:outlineLvl w:val="1"/>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lang w:eastAsia="zh-CN"/>
              </w:rPr>
              <w:t>现场见证或经根据调查确证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500元/次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kern w:val="0"/>
                <w:sz w:val="18"/>
                <w:szCs w:val="18"/>
                <w:lang w:val="en-US" w:eastAsia="zh-CN" w:bidi="ar-SA"/>
              </w:rPr>
            </w:pPr>
            <w:r>
              <w:rPr>
                <w:rFonts w:hint="default" w:ascii="Times New Roman" w:hAnsi="Times New Roman" w:cs="Times New Roman"/>
                <w:b/>
                <w:bCs/>
                <w:kern w:val="0"/>
                <w:sz w:val="18"/>
                <w:szCs w:val="18"/>
                <w:lang w:val="en-US" w:eastAsia="zh-CN"/>
              </w:rPr>
              <w:t>3.11</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textAlignment w:val="auto"/>
              <w:outlineLvl w:val="1"/>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对收集、贮存设施配备、维护、安全管理缺失，造成危险废物丢失、损毁或污染危害（排放超标）</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jc w:val="both"/>
              <w:textAlignment w:val="auto"/>
              <w:outlineLvl w:val="1"/>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lang w:eastAsia="zh-CN"/>
              </w:rPr>
              <w:t>现场见证或经根据调查确证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kern w:val="0"/>
                <w:sz w:val="18"/>
                <w:szCs w:val="18"/>
                <w:lang w:eastAsia="zh-CN"/>
              </w:rPr>
            </w:pPr>
            <w:r>
              <w:rPr>
                <w:rFonts w:hint="default" w:ascii="Times New Roman" w:hAnsi="Times New Roman" w:cs="Times New Roman"/>
                <w:snapToGrid w:val="0"/>
                <w:color w:val="auto"/>
                <w:kern w:val="0"/>
                <w:sz w:val="18"/>
                <w:szCs w:val="18"/>
              </w:rPr>
              <w:t>责任单位</w:t>
            </w:r>
            <w:r>
              <w:rPr>
                <w:rFonts w:hint="default" w:ascii="Times New Roman" w:hAnsi="Times New Roman" w:cs="Times New Roman"/>
                <w:snapToGrid w:val="0"/>
                <w:color w:val="auto"/>
                <w:kern w:val="0"/>
                <w:sz w:val="18"/>
                <w:szCs w:val="18"/>
                <w:lang w:eastAsia="zh-CN"/>
              </w:rPr>
              <w:t>及个人</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单位</w:t>
            </w:r>
            <w:r>
              <w:rPr>
                <w:rFonts w:hint="default" w:ascii="Times New Roman" w:hAnsi="Times New Roman" w:cs="Times New Roman"/>
                <w:snapToGrid w:val="0"/>
                <w:color w:val="auto"/>
                <w:kern w:val="0"/>
                <w:sz w:val="18"/>
                <w:szCs w:val="18"/>
                <w:lang w:eastAsia="zh-CN"/>
              </w:rPr>
              <w:t>2</w:t>
            </w:r>
            <w:r>
              <w:rPr>
                <w:rFonts w:hint="default" w:ascii="Times New Roman" w:hAnsi="Times New Roman" w:cs="Times New Roman"/>
                <w:snapToGrid w:val="0"/>
                <w:color w:val="auto"/>
                <w:kern w:val="0"/>
                <w:sz w:val="18"/>
                <w:szCs w:val="18"/>
                <w:lang w:val="en-US" w:eastAsia="zh-CN"/>
              </w:rPr>
              <w:t>000</w:t>
            </w:r>
            <w:r>
              <w:rPr>
                <w:rFonts w:hint="default" w:ascii="Times New Roman" w:hAnsi="Times New Roman" w:cs="Times New Roman"/>
                <w:snapToGrid w:val="0"/>
                <w:color w:val="auto"/>
                <w:kern w:val="0"/>
                <w:sz w:val="18"/>
                <w:szCs w:val="18"/>
              </w:rPr>
              <w:t>-30000元/次，直接责任人1000-5000元/次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sz w:val="18"/>
                <w:szCs w:val="18"/>
              </w:rPr>
            </w:pPr>
            <w:r>
              <w:rPr>
                <w:rFonts w:hint="default" w:ascii="Times New Roman" w:hAnsi="Times New Roman" w:cs="Times New Roman"/>
                <w:kern w:val="0"/>
                <w:sz w:val="18"/>
                <w:szCs w:val="18"/>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kern w:val="0"/>
                <w:sz w:val="18"/>
                <w:szCs w:val="18"/>
                <w:lang w:val="en-US" w:eastAsia="zh-CN" w:bidi="ar-SA"/>
              </w:rPr>
            </w:pPr>
            <w:r>
              <w:rPr>
                <w:rFonts w:hint="default" w:ascii="Times New Roman" w:hAnsi="Times New Roman" w:cs="Times New Roman"/>
                <w:b/>
                <w:bCs/>
                <w:kern w:val="0"/>
                <w:sz w:val="18"/>
                <w:szCs w:val="18"/>
                <w:lang w:val="en-US" w:eastAsia="zh-CN"/>
              </w:rPr>
              <w:t>3.12</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textAlignment w:val="auto"/>
              <w:outlineLvl w:val="1"/>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发生危险废物</w:t>
            </w:r>
            <w:r>
              <w:rPr>
                <w:rFonts w:hint="default" w:ascii="Times New Roman" w:hAnsi="Times New Roman" w:cs="Times New Roman"/>
                <w:snapToGrid w:val="0"/>
                <w:color w:val="auto"/>
                <w:kern w:val="0"/>
                <w:sz w:val="18"/>
                <w:szCs w:val="18"/>
                <w:lang w:val="en-US" w:eastAsia="zh-CN"/>
              </w:rPr>
              <w:t>突发事件</w:t>
            </w:r>
            <w:r>
              <w:rPr>
                <w:rFonts w:hint="default" w:ascii="Times New Roman" w:hAnsi="Times New Roman" w:cs="Times New Roman"/>
                <w:snapToGrid w:val="0"/>
                <w:color w:val="auto"/>
                <w:kern w:val="0"/>
                <w:sz w:val="18"/>
                <w:szCs w:val="18"/>
              </w:rPr>
              <w:t>不及时报告、救援处理或处理失当扩大事故的</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jc w:val="both"/>
              <w:textAlignment w:val="auto"/>
              <w:outlineLvl w:val="1"/>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lang w:eastAsia="zh-CN"/>
              </w:rPr>
              <w:t>现场见证或经根据调查确证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责任单位</w:t>
            </w:r>
            <w:r>
              <w:rPr>
                <w:rFonts w:hint="default" w:ascii="Times New Roman" w:hAnsi="Times New Roman" w:cs="Times New Roman"/>
                <w:snapToGrid w:val="0"/>
                <w:color w:val="auto"/>
                <w:kern w:val="0"/>
                <w:sz w:val="18"/>
                <w:szCs w:val="18"/>
                <w:lang w:eastAsia="zh-CN"/>
              </w:rPr>
              <w:t>及个人</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单位</w:t>
            </w:r>
            <w:r>
              <w:rPr>
                <w:rFonts w:hint="default" w:ascii="Times New Roman" w:hAnsi="Times New Roman" w:cs="Times New Roman"/>
                <w:snapToGrid w:val="0"/>
                <w:color w:val="auto"/>
                <w:kern w:val="0"/>
                <w:sz w:val="18"/>
                <w:szCs w:val="18"/>
                <w:lang w:val="en-US" w:eastAsia="zh-CN"/>
              </w:rPr>
              <w:t>10000</w:t>
            </w:r>
            <w:r>
              <w:rPr>
                <w:rFonts w:hint="default" w:ascii="Times New Roman" w:hAnsi="Times New Roman" w:cs="Times New Roman"/>
                <w:snapToGrid w:val="0"/>
                <w:color w:val="auto"/>
                <w:kern w:val="0"/>
                <w:sz w:val="18"/>
                <w:szCs w:val="18"/>
              </w:rPr>
              <w:t>-30000元/次，直接责任人1000-5000元/次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kern w:val="0"/>
                <w:sz w:val="18"/>
                <w:szCs w:val="18"/>
                <w:lang w:val="en-US" w:eastAsia="zh-CN" w:bidi="ar-SA"/>
              </w:rPr>
            </w:pPr>
            <w:r>
              <w:rPr>
                <w:rFonts w:hint="default" w:ascii="Times New Roman" w:hAnsi="Times New Roman" w:cs="Times New Roman"/>
                <w:b/>
                <w:bCs/>
                <w:kern w:val="0"/>
                <w:sz w:val="18"/>
                <w:szCs w:val="18"/>
                <w:lang w:val="en-US" w:eastAsia="zh-CN"/>
              </w:rPr>
              <w:t>3.13</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textAlignment w:val="auto"/>
              <w:outlineLvl w:val="1"/>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lang w:val="en-US" w:eastAsia="zh-CN"/>
              </w:rPr>
              <w:t>不相容的</w:t>
            </w:r>
            <w:r>
              <w:rPr>
                <w:rFonts w:hint="default" w:ascii="Times New Roman" w:hAnsi="Times New Roman" w:cs="Times New Roman"/>
                <w:snapToGrid w:val="0"/>
                <w:color w:val="auto"/>
                <w:kern w:val="0"/>
                <w:sz w:val="18"/>
                <w:szCs w:val="18"/>
              </w:rPr>
              <w:t>危险废物贮存时未采取隔离措施</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both"/>
              <w:textAlignment w:val="auto"/>
              <w:outlineLvl w:val="1"/>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lang w:eastAsia="zh-CN"/>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lang w:val="en-US" w:eastAsia="zh-CN"/>
              </w:rPr>
              <w:t>200-500</w:t>
            </w:r>
            <w:r>
              <w:rPr>
                <w:rFonts w:hint="default" w:ascii="Times New Roman" w:hAnsi="Times New Roman" w:cs="Times New Roman"/>
                <w:snapToGrid w:val="0"/>
                <w:color w:val="auto"/>
                <w:kern w:val="0"/>
                <w:sz w:val="18"/>
                <w:szCs w:val="18"/>
              </w:rPr>
              <w:t>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kern w:val="0"/>
                <w:sz w:val="18"/>
                <w:szCs w:val="18"/>
                <w:lang w:val="en-US" w:eastAsia="zh-CN" w:bidi="ar-SA"/>
              </w:rPr>
            </w:pPr>
            <w:r>
              <w:rPr>
                <w:rFonts w:hint="default" w:ascii="Times New Roman" w:hAnsi="Times New Roman" w:cs="Times New Roman"/>
                <w:b/>
                <w:bCs/>
                <w:kern w:val="0"/>
                <w:sz w:val="18"/>
                <w:szCs w:val="18"/>
                <w:lang w:val="en-US" w:eastAsia="zh-CN"/>
              </w:rPr>
              <w:t>3.14</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textAlignment w:val="auto"/>
              <w:outlineLvl w:val="1"/>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将废油倒入下水道，造成雨水系统水污染</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both"/>
              <w:textAlignment w:val="auto"/>
              <w:outlineLvl w:val="1"/>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lang w:eastAsia="zh-CN"/>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500-</w:t>
            </w:r>
            <w:r>
              <w:rPr>
                <w:rFonts w:hint="default" w:ascii="Times New Roman" w:hAnsi="Times New Roman" w:cs="Times New Roman"/>
                <w:snapToGrid w:val="0"/>
                <w:color w:val="auto"/>
                <w:kern w:val="0"/>
                <w:sz w:val="18"/>
                <w:szCs w:val="18"/>
                <w:lang w:eastAsia="zh-CN"/>
              </w:rPr>
              <w:t>5</w:t>
            </w:r>
            <w:r>
              <w:rPr>
                <w:rFonts w:hint="default" w:ascii="Times New Roman" w:hAnsi="Times New Roman" w:cs="Times New Roman"/>
                <w:snapToGrid w:val="0"/>
                <w:color w:val="auto"/>
                <w:kern w:val="0"/>
                <w:sz w:val="18"/>
                <w:szCs w:val="18"/>
              </w:rPr>
              <w:t>000元/次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kern w:val="0"/>
                <w:sz w:val="18"/>
                <w:szCs w:val="18"/>
                <w:lang w:val="en-US" w:eastAsia="zh-CN" w:bidi="ar-SA"/>
              </w:rPr>
            </w:pPr>
            <w:r>
              <w:rPr>
                <w:rFonts w:hint="default" w:ascii="Times New Roman" w:hAnsi="Times New Roman" w:cs="Times New Roman"/>
                <w:b/>
                <w:bCs/>
                <w:kern w:val="0"/>
                <w:sz w:val="18"/>
                <w:szCs w:val="18"/>
                <w:lang w:val="en-US" w:eastAsia="zh-CN"/>
              </w:rPr>
              <w:t>3.15</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textAlignment w:val="auto"/>
              <w:outlineLvl w:val="1"/>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将废油或含油污的棉纱、棉布等倒入生活垃圾桶、工业垃圾池或随地乱扔、破坏绿化等行为</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jc w:val="both"/>
              <w:textAlignment w:val="auto"/>
              <w:outlineLvl w:val="1"/>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lang w:eastAsia="zh-CN"/>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责任单位</w:t>
            </w:r>
            <w:r>
              <w:rPr>
                <w:rFonts w:hint="default" w:ascii="Times New Roman" w:hAnsi="Times New Roman" w:cs="Times New Roman"/>
                <w:snapToGrid w:val="0"/>
                <w:color w:val="auto"/>
                <w:kern w:val="0"/>
                <w:sz w:val="18"/>
                <w:szCs w:val="18"/>
                <w:lang w:eastAsia="zh-CN"/>
              </w:rPr>
              <w:t>及个人</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单位</w:t>
            </w:r>
            <w:r>
              <w:rPr>
                <w:rFonts w:hint="default" w:ascii="Times New Roman" w:hAnsi="Times New Roman" w:cs="Times New Roman"/>
                <w:snapToGrid w:val="0"/>
                <w:color w:val="auto"/>
                <w:kern w:val="0"/>
                <w:sz w:val="18"/>
                <w:szCs w:val="18"/>
                <w:lang w:val="en-US" w:eastAsia="zh-CN"/>
              </w:rPr>
              <w:t>200</w:t>
            </w:r>
            <w:r>
              <w:rPr>
                <w:rFonts w:hint="default" w:ascii="Times New Roman" w:hAnsi="Times New Roman" w:cs="Times New Roman"/>
                <w:snapToGrid w:val="0"/>
                <w:color w:val="auto"/>
                <w:kern w:val="0"/>
                <w:sz w:val="18"/>
                <w:szCs w:val="18"/>
              </w:rPr>
              <w:t>-</w:t>
            </w:r>
            <w:r>
              <w:rPr>
                <w:rFonts w:hint="default" w:ascii="Times New Roman" w:hAnsi="Times New Roman" w:cs="Times New Roman"/>
                <w:snapToGrid w:val="0"/>
                <w:color w:val="auto"/>
                <w:kern w:val="0"/>
                <w:sz w:val="18"/>
                <w:szCs w:val="18"/>
                <w:lang w:val="en-US" w:eastAsia="zh-CN"/>
              </w:rPr>
              <w:t>5</w:t>
            </w:r>
            <w:r>
              <w:rPr>
                <w:rFonts w:hint="default" w:ascii="Times New Roman" w:hAnsi="Times New Roman" w:cs="Times New Roman"/>
                <w:snapToGrid w:val="0"/>
                <w:color w:val="auto"/>
                <w:kern w:val="0"/>
                <w:sz w:val="18"/>
                <w:szCs w:val="18"/>
              </w:rPr>
              <w:t>00元/次，直接责任人</w:t>
            </w:r>
            <w:r>
              <w:rPr>
                <w:rFonts w:hint="default" w:ascii="Times New Roman" w:hAnsi="Times New Roman" w:cs="Times New Roman"/>
                <w:snapToGrid w:val="0"/>
                <w:color w:val="auto"/>
                <w:kern w:val="0"/>
                <w:sz w:val="18"/>
                <w:szCs w:val="18"/>
                <w:lang w:val="en-US" w:eastAsia="zh-CN"/>
              </w:rPr>
              <w:t>200</w:t>
            </w:r>
            <w:r>
              <w:rPr>
                <w:rFonts w:hint="default" w:ascii="Times New Roman" w:hAnsi="Times New Roman" w:cs="Times New Roman"/>
                <w:snapToGrid w:val="0"/>
                <w:color w:val="auto"/>
                <w:kern w:val="0"/>
                <w:sz w:val="18"/>
                <w:szCs w:val="18"/>
              </w:rPr>
              <w:t>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kern w:val="0"/>
                <w:sz w:val="18"/>
                <w:szCs w:val="18"/>
                <w:lang w:val="en-US" w:eastAsia="zh-CN" w:bidi="ar-SA"/>
              </w:rPr>
            </w:pPr>
            <w:r>
              <w:rPr>
                <w:rFonts w:hint="default" w:ascii="Times New Roman" w:hAnsi="Times New Roman" w:cs="Times New Roman"/>
                <w:b/>
                <w:bCs/>
                <w:kern w:val="0"/>
                <w:sz w:val="18"/>
                <w:szCs w:val="18"/>
                <w:lang w:val="en-US" w:eastAsia="zh-CN"/>
              </w:rPr>
              <w:t>3.16</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textAlignment w:val="auto"/>
              <w:outlineLvl w:val="1"/>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易产生扬尘的设备检修、工程施工等，未采取围挡、遮盖、洒水、分段作业及冲洗地面、车辆等防尘措施</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both"/>
              <w:textAlignment w:val="auto"/>
              <w:outlineLvl w:val="1"/>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lang w:eastAsia="zh-CN"/>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200-500元/次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kern w:val="0"/>
                <w:sz w:val="18"/>
                <w:szCs w:val="18"/>
                <w:lang w:val="en-US" w:eastAsia="zh-CN" w:bidi="ar-SA"/>
              </w:rPr>
            </w:pPr>
            <w:r>
              <w:rPr>
                <w:rFonts w:hint="default" w:ascii="Times New Roman" w:hAnsi="Times New Roman" w:cs="Times New Roman"/>
                <w:b/>
                <w:bCs/>
                <w:kern w:val="0"/>
                <w:sz w:val="18"/>
                <w:szCs w:val="18"/>
                <w:lang w:val="en-US" w:eastAsia="zh-CN"/>
              </w:rPr>
              <w:t>3.17</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textAlignment w:val="auto"/>
              <w:outlineLvl w:val="1"/>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lang w:val="en-US" w:eastAsia="zh-CN"/>
              </w:rPr>
              <w:t>作业场所的保温棉及其他易产生扬尘的用品，未采取有效措施苫盖</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both"/>
              <w:textAlignment w:val="auto"/>
              <w:outlineLvl w:val="1"/>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lang w:eastAsia="zh-CN"/>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200-500元/次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8"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kern w:val="0"/>
                <w:sz w:val="18"/>
                <w:szCs w:val="18"/>
                <w:lang w:val="en-US" w:eastAsia="zh-CN" w:bidi="ar-SA"/>
              </w:rPr>
            </w:pPr>
            <w:r>
              <w:rPr>
                <w:rFonts w:hint="default" w:ascii="Times New Roman" w:hAnsi="Times New Roman" w:cs="Times New Roman"/>
                <w:b/>
                <w:bCs/>
                <w:kern w:val="0"/>
                <w:sz w:val="18"/>
                <w:szCs w:val="18"/>
                <w:lang w:val="en-US" w:eastAsia="zh-CN"/>
              </w:rPr>
              <w:t>3.18</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textAlignment w:val="auto"/>
              <w:outlineLvl w:val="1"/>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建筑垃圾、工程渣土等未及时清运，或未采取围挡、密闭式防尘网等防尘措施</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both"/>
              <w:textAlignment w:val="auto"/>
              <w:outlineLvl w:val="1"/>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lang w:eastAsia="zh-CN"/>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200-500元/次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kern w:val="0"/>
                <w:sz w:val="18"/>
                <w:szCs w:val="18"/>
                <w:lang w:val="en-US" w:eastAsia="zh-CN" w:bidi="ar-SA"/>
              </w:rPr>
            </w:pPr>
            <w:r>
              <w:rPr>
                <w:rFonts w:hint="default" w:ascii="Times New Roman" w:hAnsi="Times New Roman" w:cs="Times New Roman"/>
                <w:b/>
                <w:bCs/>
                <w:kern w:val="0"/>
                <w:sz w:val="18"/>
                <w:szCs w:val="18"/>
                <w:lang w:val="en-US" w:eastAsia="zh-CN"/>
              </w:rPr>
              <w:t>3.19</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textAlignment w:val="auto"/>
              <w:outlineLvl w:val="1"/>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未认真完成责任片区的道路清洁</w:t>
            </w:r>
            <w:r>
              <w:rPr>
                <w:rFonts w:hint="default" w:ascii="Times New Roman" w:hAnsi="Times New Roman" w:cs="Times New Roman"/>
                <w:snapToGrid w:val="0"/>
                <w:color w:val="auto"/>
                <w:kern w:val="0"/>
                <w:sz w:val="18"/>
                <w:szCs w:val="18"/>
                <w:lang w:eastAsia="zh-CN"/>
              </w:rPr>
              <w:t>、</w:t>
            </w:r>
            <w:r>
              <w:rPr>
                <w:rFonts w:hint="default" w:ascii="Times New Roman" w:hAnsi="Times New Roman" w:cs="Times New Roman"/>
                <w:snapToGrid w:val="0"/>
                <w:color w:val="auto"/>
                <w:kern w:val="0"/>
                <w:sz w:val="18"/>
                <w:szCs w:val="18"/>
                <w:lang w:val="en-US" w:eastAsia="zh-CN"/>
              </w:rPr>
              <w:t>树木冲洗降尘</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both"/>
              <w:textAlignment w:val="auto"/>
              <w:outlineLvl w:val="1"/>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lang w:eastAsia="zh-CN"/>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lang w:val="en-US" w:eastAsia="zh-CN"/>
              </w:rPr>
              <w:t>200</w:t>
            </w:r>
            <w:r>
              <w:rPr>
                <w:rFonts w:hint="default" w:ascii="Times New Roman" w:hAnsi="Times New Roman" w:cs="Times New Roman"/>
                <w:snapToGrid w:val="0"/>
                <w:color w:val="auto"/>
                <w:kern w:val="0"/>
                <w:sz w:val="18"/>
                <w:szCs w:val="18"/>
              </w:rPr>
              <w:t xml:space="preserve"> 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lang w:val="en-US" w:eastAsia="zh-CN"/>
              </w:rPr>
            </w:pPr>
            <w:r>
              <w:rPr>
                <w:rFonts w:hint="default" w:ascii="Times New Roman" w:hAnsi="Times New Roman" w:cs="Times New Roman"/>
                <w:b/>
                <w:bCs/>
                <w:kern w:val="0"/>
                <w:sz w:val="18"/>
                <w:szCs w:val="18"/>
                <w:lang w:val="en-US" w:eastAsia="zh-CN"/>
              </w:rPr>
              <w:t>3.20</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eastAsia="宋体" w:cs="Times New Roman"/>
                <w:snapToGrid w:val="0"/>
                <w:color w:val="auto"/>
                <w:kern w:val="0"/>
                <w:sz w:val="18"/>
                <w:szCs w:val="18"/>
              </w:rPr>
              <w:t>运送散装物料，采取高空抛掷、扬撒</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both"/>
              <w:textAlignment w:val="auto"/>
              <w:outlineLvl w:val="1"/>
              <w:rPr>
                <w:rFonts w:hint="default" w:ascii="Times New Roman" w:hAnsi="Times New Roman" w:eastAsia="宋体" w:cs="Times New Roman"/>
                <w:kern w:val="0"/>
                <w:sz w:val="18"/>
                <w:szCs w:val="18"/>
                <w:lang w:val="en-US" w:eastAsia="zh-CN" w:bidi="ar-SA"/>
              </w:rPr>
            </w:pPr>
            <w:r>
              <w:rPr>
                <w:rFonts w:hint="default" w:ascii="Times New Roman" w:hAnsi="Times New Roman" w:cs="Times New Roman"/>
                <w:snapToGrid w:val="0"/>
                <w:color w:val="auto"/>
                <w:kern w:val="0"/>
                <w:sz w:val="18"/>
                <w:szCs w:val="18"/>
                <w:lang w:eastAsia="zh-CN"/>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kern w:val="0"/>
                <w:sz w:val="18"/>
                <w:szCs w:val="18"/>
                <w:lang w:val="en-US" w:eastAsia="zh-CN" w:bidi="ar-SA"/>
              </w:rPr>
            </w:pPr>
            <w:r>
              <w:rPr>
                <w:rFonts w:hint="default" w:ascii="Times New Roman" w:hAnsi="Times New Roman" w:cs="Times New Roman"/>
                <w:snapToGrid w:val="0"/>
                <w:color w:val="auto"/>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kern w:val="0"/>
                <w:sz w:val="18"/>
                <w:szCs w:val="18"/>
                <w:lang w:val="en-US" w:eastAsia="zh-CN" w:bidi="ar-SA"/>
              </w:rPr>
            </w:pPr>
            <w:r>
              <w:rPr>
                <w:rFonts w:hint="default" w:ascii="Times New Roman" w:hAnsi="Times New Roman" w:cs="Times New Roman"/>
                <w:snapToGrid w:val="0"/>
                <w:color w:val="auto"/>
                <w:kern w:val="0"/>
                <w:sz w:val="18"/>
                <w:szCs w:val="18"/>
                <w:lang w:val="en-US" w:eastAsia="zh-CN"/>
              </w:rPr>
              <w:t>2</w:t>
            </w:r>
            <w:r>
              <w:rPr>
                <w:rFonts w:hint="default" w:ascii="Times New Roman" w:hAnsi="Times New Roman" w:cs="Times New Roman"/>
                <w:snapToGrid w:val="0"/>
                <w:color w:val="auto"/>
                <w:kern w:val="0"/>
                <w:sz w:val="18"/>
                <w:szCs w:val="18"/>
              </w:rPr>
              <w:t>00-</w:t>
            </w:r>
            <w:r>
              <w:rPr>
                <w:rFonts w:hint="default" w:ascii="Times New Roman" w:hAnsi="Times New Roman" w:cs="Times New Roman"/>
                <w:snapToGrid w:val="0"/>
                <w:color w:val="auto"/>
                <w:kern w:val="0"/>
                <w:sz w:val="18"/>
                <w:szCs w:val="18"/>
                <w:lang w:val="en-US" w:eastAsia="zh-CN"/>
              </w:rPr>
              <w:t>5</w:t>
            </w:r>
            <w:r>
              <w:rPr>
                <w:rFonts w:hint="default" w:ascii="Times New Roman" w:hAnsi="Times New Roman" w:cs="Times New Roman"/>
                <w:snapToGrid w:val="0"/>
                <w:color w:val="auto"/>
                <w:kern w:val="0"/>
                <w:sz w:val="18"/>
                <w:szCs w:val="18"/>
              </w:rPr>
              <w:t>00 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0"/>
                <w:sz w:val="18"/>
                <w:szCs w:val="18"/>
                <w:lang w:val="en-US" w:eastAsia="zh-CN" w:bidi="ar-SA"/>
              </w:rPr>
            </w:pPr>
            <w:r>
              <w:rPr>
                <w:rFonts w:hint="default" w:ascii="Times New Roman" w:hAnsi="Times New Roman" w:cs="Times New Roman"/>
                <w:kern w:val="0"/>
                <w:sz w:val="18"/>
                <w:szCs w:val="18"/>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lang w:val="en-US" w:eastAsia="zh-CN"/>
              </w:rPr>
            </w:pPr>
            <w:r>
              <w:rPr>
                <w:rFonts w:hint="default" w:ascii="Times New Roman" w:hAnsi="Times New Roman" w:cs="Times New Roman"/>
                <w:b/>
                <w:bCs/>
                <w:kern w:val="0"/>
                <w:sz w:val="18"/>
                <w:szCs w:val="18"/>
                <w:lang w:val="en-US" w:eastAsia="zh-CN"/>
              </w:rPr>
              <w:t>3.21</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textAlignment w:val="auto"/>
              <w:outlineLvl w:val="1"/>
              <w:rPr>
                <w:rFonts w:hint="default" w:ascii="Times New Roman" w:hAnsi="Times New Roman" w:eastAsia="宋体" w:cs="Times New Roman"/>
                <w:snapToGrid w:val="0"/>
                <w:color w:val="auto"/>
                <w:kern w:val="0"/>
                <w:sz w:val="18"/>
                <w:szCs w:val="18"/>
              </w:rPr>
            </w:pPr>
            <w:r>
              <w:rPr>
                <w:rFonts w:hint="default" w:ascii="Times New Roman" w:hAnsi="Times New Roman" w:eastAsia="宋体" w:cs="Times New Roman"/>
                <w:snapToGrid w:val="0"/>
                <w:color w:val="auto"/>
                <w:kern w:val="0"/>
                <w:sz w:val="18"/>
                <w:szCs w:val="18"/>
              </w:rPr>
              <w:t>运输散装、液体物料时未采取密闭或其他 措施防止物料撒落、泄漏、扬散等</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both"/>
              <w:textAlignment w:val="auto"/>
              <w:outlineLvl w:val="1"/>
              <w:rPr>
                <w:rFonts w:hint="default" w:ascii="Times New Roman" w:hAnsi="Times New Roman" w:eastAsia="宋体" w:cs="Times New Roman"/>
                <w:kern w:val="0"/>
                <w:sz w:val="18"/>
                <w:szCs w:val="18"/>
                <w:lang w:val="en-US" w:eastAsia="zh-CN" w:bidi="ar-SA"/>
              </w:rPr>
            </w:pPr>
            <w:r>
              <w:rPr>
                <w:rFonts w:hint="default" w:ascii="Times New Roman" w:hAnsi="Times New Roman" w:cs="Times New Roman"/>
                <w:snapToGrid w:val="0"/>
                <w:color w:val="auto"/>
                <w:kern w:val="0"/>
                <w:sz w:val="18"/>
                <w:szCs w:val="18"/>
                <w:lang w:eastAsia="zh-CN"/>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kern w:val="0"/>
                <w:sz w:val="18"/>
                <w:szCs w:val="18"/>
                <w:lang w:val="en-US" w:eastAsia="zh-CN" w:bidi="ar-SA"/>
              </w:rPr>
            </w:pPr>
            <w:r>
              <w:rPr>
                <w:rFonts w:hint="default" w:ascii="Times New Roman" w:hAnsi="Times New Roman" w:cs="Times New Roman"/>
                <w:snapToGrid w:val="0"/>
                <w:color w:val="auto"/>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kern w:val="0"/>
                <w:sz w:val="18"/>
                <w:szCs w:val="18"/>
                <w:lang w:val="en-US" w:eastAsia="zh-CN" w:bidi="ar-SA"/>
              </w:rPr>
            </w:pPr>
            <w:r>
              <w:rPr>
                <w:rFonts w:hint="default" w:ascii="Times New Roman" w:hAnsi="Times New Roman" w:cs="Times New Roman"/>
                <w:snapToGrid w:val="0"/>
                <w:color w:val="auto"/>
                <w:kern w:val="0"/>
                <w:sz w:val="18"/>
                <w:szCs w:val="18"/>
                <w:lang w:val="en-US" w:eastAsia="zh-CN"/>
              </w:rPr>
              <w:t>200</w:t>
            </w:r>
            <w:r>
              <w:rPr>
                <w:rFonts w:hint="default" w:ascii="Times New Roman" w:hAnsi="Times New Roman" w:cs="Times New Roman"/>
                <w:snapToGrid w:val="0"/>
                <w:color w:val="auto"/>
                <w:kern w:val="0"/>
                <w:sz w:val="18"/>
                <w:szCs w:val="18"/>
              </w:rPr>
              <w:t>-</w:t>
            </w:r>
            <w:r>
              <w:rPr>
                <w:rFonts w:hint="default" w:ascii="Times New Roman" w:hAnsi="Times New Roman" w:cs="Times New Roman"/>
                <w:snapToGrid w:val="0"/>
                <w:color w:val="auto"/>
                <w:kern w:val="0"/>
                <w:sz w:val="18"/>
                <w:szCs w:val="18"/>
                <w:lang w:val="en-US" w:eastAsia="zh-CN"/>
              </w:rPr>
              <w:t>10</w:t>
            </w:r>
            <w:r>
              <w:rPr>
                <w:rFonts w:hint="default" w:ascii="Times New Roman" w:hAnsi="Times New Roman" w:cs="Times New Roman"/>
                <w:snapToGrid w:val="0"/>
                <w:color w:val="auto"/>
                <w:kern w:val="0"/>
                <w:sz w:val="18"/>
                <w:szCs w:val="18"/>
              </w:rPr>
              <w:t>00 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eastAsia="宋体" w:cs="Times New Roman"/>
                <w:kern w:val="0"/>
                <w:sz w:val="18"/>
                <w:szCs w:val="18"/>
                <w:lang w:val="en-US" w:eastAsia="zh-CN" w:bidi="ar-SA"/>
              </w:rPr>
            </w:pPr>
            <w:r>
              <w:rPr>
                <w:rFonts w:hint="default" w:ascii="Times New Roman" w:hAnsi="Times New Roman" w:cs="Times New Roman"/>
                <w:kern w:val="0"/>
                <w:sz w:val="18"/>
                <w:szCs w:val="18"/>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kern w:val="0"/>
                <w:sz w:val="18"/>
                <w:szCs w:val="18"/>
                <w:lang w:val="en-US" w:eastAsia="zh-CN" w:bidi="ar-SA"/>
              </w:rPr>
            </w:pPr>
            <w:r>
              <w:rPr>
                <w:rFonts w:hint="default" w:ascii="Times New Roman" w:hAnsi="Times New Roman" w:cs="Times New Roman"/>
                <w:b/>
                <w:bCs/>
                <w:kern w:val="0"/>
                <w:sz w:val="18"/>
                <w:szCs w:val="18"/>
                <w:lang w:val="en-US" w:eastAsia="zh-CN"/>
              </w:rPr>
              <w:t>3.22</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textAlignment w:val="auto"/>
              <w:outlineLvl w:val="1"/>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未及时清理洒落到地面的灰渣、煤渣、石膏等</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both"/>
              <w:textAlignment w:val="auto"/>
              <w:outlineLvl w:val="1"/>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lang w:eastAsia="zh-CN"/>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lang w:val="en-US" w:eastAsia="zh-CN"/>
              </w:rPr>
              <w:t>200</w:t>
            </w:r>
            <w:r>
              <w:rPr>
                <w:rFonts w:hint="default" w:ascii="Times New Roman" w:hAnsi="Times New Roman" w:cs="Times New Roman"/>
                <w:snapToGrid w:val="0"/>
                <w:color w:val="auto"/>
                <w:kern w:val="0"/>
                <w:sz w:val="18"/>
                <w:szCs w:val="18"/>
              </w:rPr>
              <w:t>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kern w:val="0"/>
                <w:sz w:val="18"/>
                <w:szCs w:val="18"/>
                <w:lang w:val="en-US" w:eastAsia="zh-CN"/>
              </w:rPr>
            </w:pPr>
            <w:r>
              <w:rPr>
                <w:rFonts w:hint="default" w:ascii="Times New Roman" w:hAnsi="Times New Roman" w:cs="Times New Roman"/>
                <w:b/>
                <w:bCs/>
                <w:kern w:val="0"/>
                <w:sz w:val="18"/>
                <w:szCs w:val="18"/>
                <w:lang w:val="en-US" w:eastAsia="zh-CN"/>
              </w:rPr>
              <w:t>3.23</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textAlignment w:val="auto"/>
              <w:outlineLvl w:val="1"/>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 xml:space="preserve">因检修或其他原因未通知绿化养护管理单位而造成植物死亡、景观效果受影响的；绿化养护管理单位未及时采取对植物移栽等措施造成植物死亡的 </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jc w:val="both"/>
              <w:textAlignment w:val="auto"/>
              <w:outlineLvl w:val="1"/>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lang w:eastAsia="zh-CN"/>
              </w:rPr>
              <w:t>现场见证（视</w:t>
            </w:r>
            <w:r>
              <w:rPr>
                <w:rFonts w:hint="default" w:ascii="Times New Roman" w:hAnsi="Times New Roman" w:cs="Times New Roman"/>
                <w:snapToGrid w:val="0"/>
                <w:color w:val="auto"/>
                <w:kern w:val="0"/>
                <w:sz w:val="18"/>
                <w:szCs w:val="18"/>
              </w:rPr>
              <w:t>植物被损坏的程度</w:t>
            </w:r>
            <w:r>
              <w:rPr>
                <w:rFonts w:hint="default" w:ascii="Times New Roman" w:hAnsi="Times New Roman" w:cs="Times New Roman"/>
                <w:snapToGrid w:val="0"/>
                <w:color w:val="auto"/>
                <w:kern w:val="0"/>
                <w:sz w:val="18"/>
                <w:szCs w:val="18"/>
                <w:lang w:eastAsia="zh-CN"/>
              </w:rPr>
              <w:t>）</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200-5000元/次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kern w:val="0"/>
                <w:sz w:val="18"/>
                <w:szCs w:val="18"/>
                <w:lang w:val="en-US" w:eastAsia="zh-CN"/>
              </w:rPr>
            </w:pPr>
            <w:r>
              <w:rPr>
                <w:rFonts w:hint="default" w:ascii="Times New Roman" w:hAnsi="Times New Roman" w:cs="Times New Roman"/>
                <w:b/>
                <w:bCs/>
                <w:kern w:val="0"/>
                <w:sz w:val="18"/>
                <w:szCs w:val="18"/>
                <w:lang w:val="en-US" w:eastAsia="zh-CN"/>
              </w:rPr>
              <w:t>3.24</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textAlignment w:val="auto"/>
              <w:outlineLvl w:val="1"/>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发生摘花、随意践踏草坪、攀折树枝、偷摘果实等影响植物生长、破坏景观效果等不良行为</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jc w:val="both"/>
              <w:textAlignment w:val="auto"/>
              <w:outlineLvl w:val="1"/>
              <w:rPr>
                <w:rFonts w:hint="default" w:ascii="Times New Roman" w:hAnsi="Times New Roman" w:eastAsia="宋体" w:cs="Times New Roman"/>
                <w:kern w:val="0"/>
                <w:sz w:val="18"/>
                <w:szCs w:val="18"/>
                <w:lang w:eastAsia="zh-CN"/>
              </w:rPr>
            </w:pPr>
            <w:r>
              <w:rPr>
                <w:rFonts w:hint="default" w:ascii="Times New Roman" w:hAnsi="Times New Roman" w:cs="Times New Roman"/>
                <w:snapToGrid w:val="0"/>
                <w:color w:val="auto"/>
                <w:kern w:val="0"/>
                <w:sz w:val="18"/>
                <w:szCs w:val="18"/>
                <w:lang w:eastAsia="zh-CN"/>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rPr>
              <w:t>责任人</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snapToGrid w:val="0"/>
                <w:color w:val="auto"/>
                <w:kern w:val="0"/>
                <w:sz w:val="18"/>
                <w:szCs w:val="18"/>
                <w:lang w:val="en-US" w:eastAsia="zh-CN"/>
              </w:rPr>
              <w:t>200-1000</w:t>
            </w:r>
            <w:r>
              <w:rPr>
                <w:rFonts w:hint="default" w:ascii="Times New Roman" w:hAnsi="Times New Roman" w:cs="Times New Roman"/>
                <w:snapToGrid w:val="0"/>
                <w:color w:val="auto"/>
                <w:kern w:val="0"/>
                <w:sz w:val="18"/>
                <w:szCs w:val="18"/>
              </w:rPr>
              <w:t>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jc w:val="center"/>
              <w:textAlignment w:val="auto"/>
              <w:rPr>
                <w:rFonts w:hint="default" w:ascii="Times New Roman" w:hAnsi="Times New Roman" w:cs="Times New Roman"/>
                <w:kern w:val="0"/>
                <w:sz w:val="18"/>
                <w:szCs w:val="18"/>
              </w:rPr>
            </w:pPr>
            <w:r>
              <w:rPr>
                <w:rFonts w:hint="default" w:ascii="Times New Roman" w:hAnsi="Times New Roman" w:cs="Times New Roman"/>
                <w:kern w:val="0"/>
                <w:sz w:val="18"/>
                <w:szCs w:val="18"/>
              </w:rPr>
              <w:t>生技或安健环部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kern w:val="0"/>
                <w:sz w:val="18"/>
                <w:szCs w:val="18"/>
                <w:lang w:eastAsia="zh-CN"/>
              </w:rPr>
            </w:pPr>
            <w:r>
              <w:rPr>
                <w:rFonts w:hint="default" w:ascii="Times New Roman" w:hAnsi="Times New Roman" w:cs="Times New Roman"/>
                <w:b/>
                <w:bCs/>
                <w:kern w:val="0"/>
                <w:sz w:val="18"/>
                <w:szCs w:val="18"/>
                <w:lang w:val="en-US" w:eastAsia="zh-CN"/>
              </w:rPr>
              <w:t>4</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事故考核</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lang w:val="en-US" w:eastAsia="zh-CN"/>
              </w:rPr>
              <w:t>4</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1</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外包单位发生人身轻伤</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责任管理部门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5000元/人次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lang w:val="en-US" w:eastAsia="zh-CN"/>
              </w:rPr>
              <w:t>4</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2</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外包单位发生人身重伤</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安全有关规定</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责任管理部门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50000元/人次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lang w:val="en-US" w:eastAsia="zh-CN"/>
              </w:rPr>
              <w:t>4</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3</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外包单位发生人身重伤以上事故</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安全有关规定</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责任管理部门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200000元/人次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lang w:val="en-US" w:eastAsia="zh-CN"/>
              </w:rPr>
              <w:t>4</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4</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发生人身伤亡未遂</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lang w:val="en-US" w:eastAsia="zh-CN"/>
              </w:rPr>
              <w:t>3000</w:t>
            </w:r>
            <w:r>
              <w:rPr>
                <w:rFonts w:hint="default" w:ascii="Times New Roman" w:hAnsi="Times New Roman" w:cs="Times New Roman"/>
                <w:snapToGrid w:val="0"/>
                <w:color w:val="auto"/>
                <w:kern w:val="0"/>
                <w:sz w:val="18"/>
                <w:szCs w:val="18"/>
              </w:rPr>
              <w:t>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lang w:val="en-US" w:eastAsia="zh-CN"/>
              </w:rPr>
              <w:t>4</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5</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发生人身伤亡、设备事故（损坏）未遂，瞒情不报的</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5000元/次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lang w:val="en-US" w:eastAsia="zh-CN"/>
              </w:rPr>
              <w:t>4</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6</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发生一般设备损坏</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1000</w:t>
            </w:r>
            <w:r>
              <w:rPr>
                <w:rFonts w:hint="default" w:ascii="Times New Roman" w:hAnsi="Times New Roman" w:cs="Times New Roman"/>
                <w:snapToGrid w:val="0"/>
                <w:color w:val="auto"/>
                <w:kern w:val="0"/>
                <w:sz w:val="18"/>
                <w:szCs w:val="18"/>
                <w:lang w:val="en-US" w:eastAsia="zh-CN"/>
              </w:rPr>
              <w:t>-5000</w:t>
            </w:r>
            <w:r>
              <w:rPr>
                <w:rFonts w:hint="default" w:ascii="Times New Roman" w:hAnsi="Times New Roman" w:cs="Times New Roman"/>
                <w:snapToGrid w:val="0"/>
                <w:color w:val="auto"/>
                <w:kern w:val="0"/>
                <w:sz w:val="18"/>
                <w:szCs w:val="18"/>
              </w:rPr>
              <w:t>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lang w:val="en-US" w:eastAsia="zh-CN"/>
              </w:rPr>
              <w:t>4</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7</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发生重大设备损坏事故</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现场见证</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各部门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eastAsia="宋体" w:cs="Times New Roman"/>
                <w:snapToGrid w:val="0"/>
                <w:color w:val="auto"/>
                <w:kern w:val="0"/>
                <w:sz w:val="18"/>
                <w:szCs w:val="18"/>
                <w:lang w:val="en-US" w:eastAsia="zh-CN"/>
              </w:rPr>
            </w:pPr>
            <w:r>
              <w:rPr>
                <w:rFonts w:hint="default" w:ascii="Times New Roman" w:hAnsi="Times New Roman" w:cs="Times New Roman"/>
                <w:snapToGrid w:val="0"/>
                <w:color w:val="auto"/>
                <w:kern w:val="0"/>
                <w:sz w:val="18"/>
                <w:szCs w:val="18"/>
                <w:lang w:val="en-US" w:eastAsia="zh-CN"/>
              </w:rPr>
              <w:t>10000-100000</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lang w:val="en-US" w:eastAsia="zh-CN"/>
              </w:rPr>
              <w:t>4</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8</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发生一般火灾</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安全有关规定</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500-</w:t>
            </w:r>
            <w:r>
              <w:rPr>
                <w:rFonts w:hint="default" w:ascii="Times New Roman" w:hAnsi="Times New Roman" w:cs="Times New Roman"/>
                <w:snapToGrid w:val="0"/>
                <w:color w:val="auto"/>
                <w:kern w:val="0"/>
                <w:sz w:val="18"/>
                <w:szCs w:val="18"/>
                <w:lang w:val="en-US" w:eastAsia="zh-CN"/>
              </w:rPr>
              <w:t>5000</w:t>
            </w:r>
            <w:r>
              <w:rPr>
                <w:rFonts w:hint="default" w:ascii="Times New Roman" w:hAnsi="Times New Roman" w:cs="Times New Roman"/>
                <w:snapToGrid w:val="0"/>
                <w:color w:val="auto"/>
                <w:kern w:val="0"/>
                <w:sz w:val="18"/>
                <w:szCs w:val="18"/>
              </w:rPr>
              <w:t>元/次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cs="Times New Roman"/>
                <w:b/>
                <w:bCs/>
                <w:kern w:val="0"/>
                <w:sz w:val="18"/>
                <w:szCs w:val="18"/>
              </w:rPr>
            </w:pPr>
            <w:r>
              <w:rPr>
                <w:rFonts w:hint="default" w:ascii="Times New Roman" w:hAnsi="Times New Roman" w:cs="Times New Roman"/>
                <w:b/>
                <w:bCs/>
                <w:kern w:val="0"/>
                <w:sz w:val="18"/>
                <w:szCs w:val="18"/>
                <w:lang w:val="en-US" w:eastAsia="zh-CN"/>
              </w:rPr>
              <w:t>4</w:t>
            </w:r>
            <w:r>
              <w:rPr>
                <w:rFonts w:hint="eastAsia" w:ascii="Times New Roman" w:hAnsi="Times New Roman" w:cs="Times New Roman"/>
                <w:b/>
                <w:bCs/>
                <w:kern w:val="0"/>
                <w:sz w:val="18"/>
                <w:szCs w:val="18"/>
                <w:lang w:val="en-US" w:eastAsia="zh-CN"/>
              </w:rPr>
              <w:t>.</w:t>
            </w:r>
            <w:r>
              <w:rPr>
                <w:rFonts w:hint="default" w:ascii="Times New Roman" w:hAnsi="Times New Roman" w:cs="Times New Roman"/>
                <w:b/>
                <w:bCs/>
                <w:kern w:val="0"/>
                <w:sz w:val="18"/>
                <w:szCs w:val="18"/>
              </w:rPr>
              <w:t>9</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发生</w:t>
            </w:r>
            <w:r>
              <w:rPr>
                <w:rFonts w:hint="default" w:ascii="Times New Roman" w:hAnsi="Times New Roman" w:cs="Times New Roman"/>
                <w:snapToGrid w:val="0"/>
                <w:color w:val="auto"/>
                <w:kern w:val="0"/>
                <w:sz w:val="18"/>
                <w:szCs w:val="18"/>
                <w:lang w:val="en-US" w:eastAsia="zh-CN"/>
              </w:rPr>
              <w:t>较大及以上</w:t>
            </w:r>
            <w:r>
              <w:rPr>
                <w:rFonts w:hint="default" w:ascii="Times New Roman" w:hAnsi="Times New Roman" w:cs="Times New Roman"/>
                <w:snapToGrid w:val="0"/>
                <w:color w:val="auto"/>
                <w:kern w:val="0"/>
                <w:sz w:val="18"/>
                <w:szCs w:val="18"/>
              </w:rPr>
              <w:t>火灾事故</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安全有关规定</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各部门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eastAsia="宋体" w:cs="Times New Roman"/>
                <w:snapToGrid w:val="0"/>
                <w:color w:val="auto"/>
                <w:kern w:val="0"/>
                <w:sz w:val="18"/>
                <w:szCs w:val="18"/>
                <w:lang w:val="en-US" w:eastAsia="zh-CN"/>
              </w:rPr>
            </w:pPr>
            <w:r>
              <w:rPr>
                <w:rFonts w:hint="default" w:ascii="Times New Roman" w:hAnsi="Times New Roman" w:cs="Times New Roman"/>
                <w:snapToGrid w:val="0"/>
                <w:color w:val="auto"/>
                <w:kern w:val="0"/>
                <w:sz w:val="18"/>
                <w:szCs w:val="18"/>
                <w:lang w:val="en-US" w:eastAsia="zh-CN"/>
              </w:rPr>
              <w:t>10000-100000</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kern w:val="0"/>
                <w:sz w:val="18"/>
                <w:szCs w:val="18"/>
                <w:lang w:eastAsia="zh-CN"/>
              </w:rPr>
            </w:pPr>
            <w:r>
              <w:rPr>
                <w:rFonts w:hint="default" w:ascii="Times New Roman" w:hAnsi="Times New Roman" w:cs="Times New Roman"/>
                <w:b/>
                <w:bCs/>
                <w:kern w:val="0"/>
                <w:sz w:val="18"/>
                <w:szCs w:val="18"/>
                <w:lang w:val="en-US" w:eastAsia="zh-CN"/>
              </w:rPr>
              <w:t>5</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eastAsia="宋体" w:cs="Times New Roman"/>
                <w:snapToGrid w:val="0"/>
                <w:color w:val="auto"/>
                <w:kern w:val="0"/>
                <w:sz w:val="18"/>
                <w:szCs w:val="18"/>
                <w:lang w:eastAsia="zh-CN"/>
              </w:rPr>
            </w:pPr>
            <w:r>
              <w:rPr>
                <w:rFonts w:hint="default" w:ascii="Times New Roman" w:hAnsi="Times New Roman" w:cs="Times New Roman"/>
                <w:snapToGrid w:val="0"/>
                <w:color w:val="auto"/>
                <w:kern w:val="0"/>
                <w:sz w:val="18"/>
                <w:szCs w:val="18"/>
              </w:rPr>
              <w:t>发生职业病</w:t>
            </w:r>
            <w:r>
              <w:rPr>
                <w:rFonts w:hint="default" w:ascii="Times New Roman" w:hAnsi="Times New Roman" w:cs="Times New Roman"/>
                <w:snapToGrid w:val="0"/>
                <w:color w:val="auto"/>
                <w:kern w:val="0"/>
                <w:sz w:val="18"/>
                <w:szCs w:val="18"/>
                <w:lang w:val="en-US" w:eastAsia="zh-CN"/>
              </w:rPr>
              <w:t>病例</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有关规定</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1000元/人次</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cs="Times New Roman"/>
                <w:snapToGrid w:val="0"/>
                <w:color w:val="auto"/>
                <w:kern w:val="0"/>
                <w:sz w:val="18"/>
                <w:szCs w:val="18"/>
              </w:rPr>
            </w:pPr>
            <w:r>
              <w:rPr>
                <w:rFonts w:hint="default" w:ascii="Times New Roman" w:hAnsi="Times New Roman" w:cs="Times New Roman"/>
                <w:snapToGrid w:val="0"/>
                <w:color w:val="auto"/>
                <w:kern w:val="0"/>
                <w:sz w:val="18"/>
                <w:szCs w:val="18"/>
              </w:rPr>
              <w:t>安健环部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1" w:hRule="atLeast"/>
          <w:jc w:val="center"/>
        </w:trPr>
        <w:tc>
          <w:tcPr>
            <w:tcW w:w="108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kinsoku/>
              <w:wordWrap/>
              <w:overflowPunct/>
              <w:topLinePunct w:val="0"/>
              <w:autoSpaceDE/>
              <w:autoSpaceDN/>
              <w:bidi w:val="0"/>
              <w:adjustRightInd/>
              <w:snapToGrid/>
              <w:jc w:val="center"/>
              <w:textAlignment w:val="auto"/>
              <w:rPr>
                <w:rFonts w:hint="default" w:ascii="Times New Roman" w:hAnsi="Times New Roman" w:eastAsia="宋体" w:cs="Times New Roman"/>
                <w:b/>
                <w:bCs/>
                <w:kern w:val="0"/>
                <w:sz w:val="18"/>
                <w:szCs w:val="18"/>
                <w:lang w:val="en-US" w:eastAsia="zh-CN" w:bidi="ar-SA"/>
              </w:rPr>
            </w:pPr>
            <w:r>
              <w:rPr>
                <w:rFonts w:hint="default" w:ascii="Times New Roman" w:hAnsi="Times New Roman" w:cs="Times New Roman"/>
                <w:b/>
                <w:bCs/>
                <w:kern w:val="0"/>
                <w:sz w:val="18"/>
                <w:szCs w:val="18"/>
                <w:lang w:val="en-US" w:eastAsia="zh-CN"/>
              </w:rPr>
              <w:t>6</w:t>
            </w:r>
          </w:p>
        </w:tc>
        <w:tc>
          <w:tcPr>
            <w:tcW w:w="540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eastAsia="宋体" w:cs="Times New Roman"/>
                <w:b w:val="0"/>
                <w:bCs w:val="0"/>
                <w:snapToGrid w:val="0"/>
                <w:color w:val="auto"/>
                <w:kern w:val="0"/>
                <w:sz w:val="18"/>
                <w:szCs w:val="18"/>
                <w:lang w:val="en-US" w:eastAsia="zh-CN" w:bidi="ar-SA"/>
              </w:rPr>
            </w:pPr>
            <w:r>
              <w:rPr>
                <w:rFonts w:hint="default" w:ascii="Times New Roman" w:hAnsi="Times New Roman" w:cs="Times New Roman"/>
                <w:b w:val="0"/>
                <w:bCs w:val="0"/>
                <w:snapToGrid w:val="0"/>
                <w:color w:val="auto"/>
                <w:kern w:val="0"/>
                <w:sz w:val="18"/>
                <w:szCs w:val="18"/>
                <w:lang w:val="en-US" w:eastAsia="zh-CN"/>
              </w:rPr>
              <w:t>现场其他违章行为及不安全事件</w:t>
            </w:r>
          </w:p>
        </w:tc>
        <w:tc>
          <w:tcPr>
            <w:tcW w:w="27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eastAsia="宋体" w:cs="Times New Roman"/>
                <w:snapToGrid w:val="0"/>
                <w:color w:val="auto"/>
                <w:kern w:val="0"/>
                <w:sz w:val="18"/>
                <w:szCs w:val="18"/>
                <w:lang w:val="en-US" w:eastAsia="zh-CN" w:bidi="ar-SA"/>
              </w:rPr>
            </w:pPr>
            <w:r>
              <w:rPr>
                <w:rFonts w:hint="default" w:ascii="Times New Roman" w:hAnsi="Times New Roman" w:cs="Times New Roman"/>
                <w:snapToGrid w:val="0"/>
                <w:color w:val="auto"/>
                <w:kern w:val="0"/>
                <w:sz w:val="18"/>
                <w:szCs w:val="18"/>
                <w:lang w:val="en-US" w:eastAsia="zh-CN"/>
              </w:rPr>
              <w:t>现场见证、调查分析</w:t>
            </w:r>
          </w:p>
        </w:tc>
        <w:tc>
          <w:tcPr>
            <w:tcW w:w="15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eastAsia="宋体" w:cs="Times New Roman"/>
                <w:snapToGrid w:val="0"/>
                <w:color w:val="auto"/>
                <w:kern w:val="0"/>
                <w:sz w:val="18"/>
                <w:szCs w:val="18"/>
                <w:lang w:val="en-US" w:eastAsia="zh-CN" w:bidi="ar-SA"/>
              </w:rPr>
            </w:pPr>
            <w:r>
              <w:rPr>
                <w:rFonts w:hint="default" w:ascii="Times New Roman" w:hAnsi="Times New Roman" w:cs="Times New Roman"/>
                <w:snapToGrid w:val="0"/>
                <w:color w:val="auto"/>
                <w:kern w:val="0"/>
                <w:sz w:val="18"/>
                <w:szCs w:val="18"/>
              </w:rPr>
              <w:t>责任部门</w:t>
            </w:r>
          </w:p>
        </w:tc>
        <w:tc>
          <w:tcPr>
            <w:tcW w:w="201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eastAsia="宋体" w:cs="Times New Roman"/>
                <w:snapToGrid w:val="0"/>
                <w:color w:val="auto"/>
                <w:kern w:val="0"/>
                <w:sz w:val="18"/>
                <w:szCs w:val="18"/>
                <w:lang w:val="en-US" w:eastAsia="zh-CN" w:bidi="ar-SA"/>
              </w:rPr>
            </w:pPr>
            <w:r>
              <w:rPr>
                <w:rFonts w:hint="default" w:ascii="Times New Roman" w:hAnsi="Times New Roman" w:cs="Times New Roman"/>
                <w:snapToGrid w:val="0"/>
                <w:color w:val="auto"/>
                <w:kern w:val="0"/>
                <w:sz w:val="18"/>
                <w:szCs w:val="18"/>
                <w:lang w:val="en-US" w:eastAsia="zh-CN"/>
              </w:rPr>
              <w:t>按照《安全环保奖惩管理标准》《反违章管理制度》《承包商及队伍、外来人员安全管理标准（试行）》等管理制度实施考核</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widowControl/>
              <w:tabs>
                <w:tab w:val="left" w:pos="591"/>
              </w:tabs>
              <w:kinsoku/>
              <w:wordWrap/>
              <w:overflowPunct/>
              <w:topLinePunct w:val="0"/>
              <w:autoSpaceDE/>
              <w:autoSpaceDN/>
              <w:bidi w:val="0"/>
              <w:adjustRightInd/>
              <w:snapToGrid/>
              <w:jc w:val="left"/>
              <w:textAlignment w:val="auto"/>
              <w:outlineLvl w:val="1"/>
              <w:rPr>
                <w:rFonts w:hint="default" w:ascii="Times New Roman" w:hAnsi="Times New Roman" w:eastAsia="宋体" w:cs="Times New Roman"/>
                <w:snapToGrid w:val="0"/>
                <w:color w:val="auto"/>
                <w:kern w:val="0"/>
                <w:sz w:val="18"/>
                <w:szCs w:val="18"/>
                <w:lang w:val="en-US" w:eastAsia="zh-CN" w:bidi="ar-SA"/>
              </w:rPr>
            </w:pPr>
            <w:r>
              <w:rPr>
                <w:rFonts w:hint="default" w:ascii="Times New Roman" w:hAnsi="Times New Roman" w:cs="Times New Roman"/>
                <w:snapToGrid w:val="0"/>
                <w:color w:val="auto"/>
                <w:kern w:val="0"/>
                <w:sz w:val="18"/>
                <w:szCs w:val="18"/>
              </w:rPr>
              <w:t>安健环部</w:t>
            </w:r>
          </w:p>
        </w:tc>
      </w:tr>
    </w:tbl>
    <w:p>
      <w:pPr>
        <w:jc w:val="left"/>
        <w:rPr>
          <w:rFonts w:hint="default"/>
          <w:b/>
          <w:sz w:val="24"/>
          <w:lang w:val="en-US"/>
        </w:rPr>
      </w:pPr>
      <w:r>
        <w:rPr>
          <w:rFonts w:hint="eastAsia"/>
          <w:lang w:val="en-US" w:eastAsia="zh-CN"/>
        </w:rPr>
        <w:t>注：以上考核如与</w:t>
      </w:r>
      <w:r>
        <w:rPr>
          <w:rFonts w:hint="eastAsia" w:ascii="宋体" w:hAnsi="宋体"/>
          <w:b w:val="0"/>
          <w:bCs w:val="0"/>
          <w:snapToGrid w:val="0"/>
          <w:color w:val="auto"/>
          <w:kern w:val="0"/>
          <w:szCs w:val="21"/>
          <w:lang w:val="en-US" w:eastAsia="zh-CN"/>
        </w:rPr>
        <w:t>《设备检修安全管理标准》《安全环保奖惩管理标准》冲突的，以考核严厉的为准。</w:t>
      </w:r>
    </w:p>
    <w:p>
      <w:pPr>
        <w:spacing w:line="360" w:lineRule="auto"/>
        <w:rPr>
          <w:rFonts w:hint="default" w:ascii="Times New Roman" w:hAnsi="Times New Roman" w:cs="Times New Roman"/>
        </w:rPr>
      </w:pPr>
    </w:p>
    <w:sectPr>
      <w:headerReference r:id="rId10" w:type="default"/>
      <w:footerReference r:id="rId11" w:type="default"/>
      <w:pgSz w:w="16838" w:h="11906" w:orient="landscape"/>
      <w:pgMar w:top="1800" w:right="1440" w:bottom="1800" w:left="1440"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小标宋_GBK">
    <w:panose1 w:val="03000509000000000000"/>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7"/>
      </w:rPr>
    </w:pPr>
    <w:r>
      <w:fldChar w:fldCharType="begin"/>
    </w:r>
    <w:r>
      <w:rPr>
        <w:rStyle w:val="17"/>
      </w:rPr>
      <w:instrText xml:space="preserve">PAGE  </w:instrText>
    </w:r>
    <w:r>
      <w:fldChar w:fldCharType="end"/>
    </w:r>
  </w:p>
  <w:p>
    <w:pPr>
      <w:pStyle w:val="1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7"/>
      </w:rPr>
    </w:pPr>
    <w:r>
      <w:fldChar w:fldCharType="begin"/>
    </w:r>
    <w:r>
      <w:rPr>
        <w:rStyle w:val="17"/>
      </w:rPr>
      <w:instrText xml:space="preserve">PAGE  </w:instrText>
    </w:r>
    <w:r>
      <w:fldChar w:fldCharType="separate"/>
    </w:r>
    <w:r>
      <w:rPr>
        <w:rStyle w:val="17"/>
      </w:rPr>
      <w:t>3</w:t>
    </w:r>
    <w:r>
      <w:fldChar w:fldCharType="end"/>
    </w:r>
  </w:p>
  <w:p>
    <w:pPr>
      <w:pStyle w:val="1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6" name="文本框 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0"/>
                            <w:rPr>
                              <w:rStyle w:val="17"/>
                              <w:rFonts w:hint="eastAsia" w:eastAsia="宋体"/>
                              <w:lang w:eastAsia="zh-CN"/>
                            </w:rPr>
                          </w:pPr>
                          <w:r>
                            <w:rPr>
                              <w:rStyle w:val="17"/>
                              <w:rFonts w:hint="eastAsia"/>
                              <w:lang w:eastAsia="zh-CN"/>
                            </w:rPr>
                            <w:t xml:space="preserve">— </w:t>
                          </w:r>
                          <w:r>
                            <w:rPr>
                              <w:rStyle w:val="17"/>
                              <w:rFonts w:hint="eastAsia"/>
                              <w:sz w:val="20"/>
                              <w:szCs w:val="20"/>
                              <w:lang w:eastAsia="zh-CN"/>
                            </w:rPr>
                            <w:fldChar w:fldCharType="begin"/>
                          </w:r>
                          <w:r>
                            <w:rPr>
                              <w:rStyle w:val="17"/>
                              <w:rFonts w:hint="eastAsia"/>
                              <w:sz w:val="20"/>
                              <w:szCs w:val="20"/>
                              <w:lang w:eastAsia="zh-CN"/>
                            </w:rPr>
                            <w:instrText xml:space="preserve"> PAGE  \* MERGEFORMAT </w:instrText>
                          </w:r>
                          <w:r>
                            <w:rPr>
                              <w:rStyle w:val="17"/>
                              <w:rFonts w:hint="eastAsia"/>
                              <w:sz w:val="20"/>
                              <w:szCs w:val="20"/>
                              <w:lang w:eastAsia="zh-CN"/>
                            </w:rPr>
                            <w:fldChar w:fldCharType="separate"/>
                          </w:r>
                          <w:r>
                            <w:rPr>
                              <w:rStyle w:val="17"/>
                              <w:rFonts w:hint="eastAsia"/>
                              <w:sz w:val="20"/>
                              <w:szCs w:val="20"/>
                              <w:lang w:eastAsia="zh-CN"/>
                            </w:rPr>
                            <w:t>1</w:t>
                          </w:r>
                          <w:r>
                            <w:rPr>
                              <w:rStyle w:val="17"/>
                              <w:rFonts w:hint="eastAsia"/>
                              <w:sz w:val="20"/>
                              <w:szCs w:val="20"/>
                              <w:lang w:eastAsia="zh-CN"/>
                            </w:rPr>
                            <w:fldChar w:fldCharType="end"/>
                          </w:r>
                          <w:r>
                            <w:rPr>
                              <w:rStyle w:val="17"/>
                              <w:rFonts w:hint="eastAsia"/>
                              <w:sz w:val="20"/>
                              <w:szCs w:val="20"/>
                              <w:lang w:eastAsia="zh-CN"/>
                            </w:rPr>
                            <w:t xml:space="preserve"> </w:t>
                          </w:r>
                          <w:r>
                            <w:rPr>
                              <w:rStyle w:val="17"/>
                              <w:rFonts w:hint="eastAsia"/>
                              <w:lang w:eastAsia="zh-CN"/>
                            </w:rPr>
                            <w:t>—</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">
              <v:fill on="f" focussize="0,0"/>
              <v:stroke on="f" weight="0.5pt"/>
              <v:imagedata o:title=""/>
              <o:lock v:ext="edit" aspectratio="f"/>
              <v:textbox inset="0mm,0mm,0mm,0mm" style="mso-fit-shape-to-text:t;">
                <w:txbxContent>
                  <w:p>
                    <w:pPr>
                      <w:pStyle w:val="10"/>
                      <w:rPr>
                        <w:rStyle w:val="17"/>
                        <w:rFonts w:hint="eastAsia" w:eastAsia="宋体"/>
                        <w:lang w:eastAsia="zh-CN"/>
                      </w:rPr>
                    </w:pPr>
                    <w:r>
                      <w:rPr>
                        <w:rStyle w:val="17"/>
                        <w:rFonts w:hint="eastAsia"/>
                        <w:lang w:eastAsia="zh-CN"/>
                      </w:rPr>
                      <w:t xml:space="preserve">— </w:t>
                    </w:r>
                    <w:r>
                      <w:rPr>
                        <w:rStyle w:val="17"/>
                        <w:rFonts w:hint="eastAsia"/>
                        <w:sz w:val="20"/>
                        <w:szCs w:val="20"/>
                        <w:lang w:eastAsia="zh-CN"/>
                      </w:rPr>
                      <w:fldChar w:fldCharType="begin"/>
                    </w:r>
                    <w:r>
                      <w:rPr>
                        <w:rStyle w:val="17"/>
                        <w:rFonts w:hint="eastAsia"/>
                        <w:sz w:val="20"/>
                        <w:szCs w:val="20"/>
                        <w:lang w:eastAsia="zh-CN"/>
                      </w:rPr>
                      <w:instrText xml:space="preserve"> PAGE  \* MERGEFORMAT </w:instrText>
                    </w:r>
                    <w:r>
                      <w:rPr>
                        <w:rStyle w:val="17"/>
                        <w:rFonts w:hint="eastAsia"/>
                        <w:sz w:val="20"/>
                        <w:szCs w:val="20"/>
                        <w:lang w:eastAsia="zh-CN"/>
                      </w:rPr>
                      <w:fldChar w:fldCharType="separate"/>
                    </w:r>
                    <w:r>
                      <w:rPr>
                        <w:rStyle w:val="17"/>
                        <w:rFonts w:hint="eastAsia"/>
                        <w:sz w:val="20"/>
                        <w:szCs w:val="20"/>
                        <w:lang w:eastAsia="zh-CN"/>
                      </w:rPr>
                      <w:t>1</w:t>
                    </w:r>
                    <w:r>
                      <w:rPr>
                        <w:rStyle w:val="17"/>
                        <w:rFonts w:hint="eastAsia"/>
                        <w:sz w:val="20"/>
                        <w:szCs w:val="20"/>
                        <w:lang w:eastAsia="zh-CN"/>
                      </w:rPr>
                      <w:fldChar w:fldCharType="end"/>
                    </w:r>
                    <w:r>
                      <w:rPr>
                        <w:rStyle w:val="17"/>
                        <w:rFonts w:hint="eastAsia"/>
                        <w:sz w:val="20"/>
                        <w:szCs w:val="20"/>
                        <w:lang w:eastAsia="zh-CN"/>
                      </w:rPr>
                      <w:t xml:space="preserve"> </w:t>
                    </w:r>
                    <w:r>
                      <w:rPr>
                        <w:rStyle w:val="17"/>
                        <w:rFonts w:hint="eastAsia"/>
                        <w:lang w:eastAsia="zh-CN"/>
                      </w:rPr>
                      <w:t>—</w:t>
                    </w:r>
                  </w:p>
                </w:txbxContent>
              </v:textbox>
            </v:shape>
          </w:pict>
        </mc:Fallback>
      </mc:AlternateContent>
    </w:r>
  </w:p>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framePr w:wrap="around" w:vAnchor="text" w:hAnchor="margin" w:xAlign="center" w:y="1"/>
      <w:rPr>
        <w:rStyle w:val="17"/>
      </w:rPr>
    </w:pPr>
    <w:r>
      <w:fldChar w:fldCharType="begin"/>
    </w:r>
    <w:r>
      <w:rPr>
        <w:rStyle w:val="17"/>
      </w:rPr>
      <w:instrText xml:space="preserve">PAGE  </w:instrText>
    </w:r>
    <w:r>
      <w:fldChar w:fldCharType="end"/>
    </w:r>
  </w:p>
  <w:p>
    <w:pPr>
      <w:pStyle w:val="10"/>
    </w:pPr>
  </w:p>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14935" cy="131445"/>
              <wp:effectExtent l="0" t="0" r="0" b="0"/>
              <wp:wrapNone/>
              <wp:docPr id="2" name="文本框 2"/>
              <wp:cNvGraphicFramePr/>
              <a:graphic xmlns:a="http://schemas.openxmlformats.org/drawingml/2006/main">
                <a:graphicData uri="http://schemas.microsoft.com/office/word/2010/wordprocessingShape">
                  <wps:wsp>
                    <wps:cNvSpPr txBox="1"/>
                    <wps:spPr>
                      <a:xfrm>
                        <a:off x="0" y="0"/>
                        <a:ext cx="114935" cy="131445"/>
                      </a:xfrm>
                      <a:prstGeom prst="rect">
                        <a:avLst/>
                      </a:prstGeom>
                      <a:noFill/>
                      <a:ln>
                        <a:noFill/>
                      </a:ln>
                      <a:effectLst/>
                    </wps:spPr>
                    <wps:txbx>
                      <w:txbxContent>
                        <w:p>
                          <w:pPr>
                            <w:snapToGrid w:val="0"/>
                            <w:rPr>
                              <w:rFonts w:hint="eastAsia" w:eastAsia="宋体"/>
                              <w:sz w:val="18"/>
                              <w:lang w:eastAsia="zh-CN"/>
                            </w:rPr>
                          </w:pPr>
                          <w:r>
                            <w:rPr>
                              <w:rFonts w:hint="eastAsia"/>
                              <w:sz w:val="18"/>
                              <w:lang w:eastAsia="zh-CN"/>
                            </w:rPr>
                            <w:t xml:space="preserve">—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22</w:t>
                          </w:r>
                          <w:r>
                            <w:rPr>
                              <w:rFonts w:hint="eastAsia"/>
                              <w:sz w:val="18"/>
                              <w:lang w:eastAsia="zh-CN"/>
                            </w:rPr>
                            <w:fldChar w:fldCharType="end"/>
                          </w:r>
                          <w:r>
                            <w:rPr>
                              <w:rFonts w:hint="eastAsia"/>
                              <w:sz w:val="18"/>
                              <w:lang w:eastAsia="zh-CN"/>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0.35pt;width:9.05pt;mso-position-horizontal:center;mso-position-horizontal-relative:margin;mso-wrap-style:none;z-index:251659264;mso-width-relative:page;mso-height-relative:page;" filled="f" stroked="f" coordsize="21600,21600" o:gfxdata="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t xml:space="preserve">—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22</w:t>
                    </w:r>
                    <w:r>
                      <w:rPr>
                        <w:rFonts w:hint="eastAsia"/>
                        <w:sz w:val="18"/>
                        <w:lang w:eastAsia="zh-CN"/>
                      </w:rPr>
                      <w:fldChar w:fldCharType="end"/>
                    </w:r>
                    <w:r>
                      <w:rPr>
                        <w:rFonts w:hint="eastAsia"/>
                        <w:sz w:val="1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1DB96D9"/>
    <w:multiLevelType w:val="singleLevel"/>
    <w:tmpl w:val="81DB96D9"/>
    <w:lvl w:ilvl="0" w:tentative="0">
      <w:start w:val="1"/>
      <w:numFmt w:val="bullet"/>
      <w:lvlText w:val=""/>
      <w:lvlJc w:val="left"/>
      <w:pPr>
        <w:ind w:left="420" w:hanging="420"/>
      </w:pPr>
      <w:rPr>
        <w:rFonts w:hint="default" w:ascii="Wingdings" w:hAnsi="Wingdings"/>
      </w:rPr>
    </w:lvl>
  </w:abstractNum>
  <w:abstractNum w:abstractNumId="1">
    <w:nsid w:val="8BB09E8D"/>
    <w:multiLevelType w:val="singleLevel"/>
    <w:tmpl w:val="8BB09E8D"/>
    <w:lvl w:ilvl="0" w:tentative="0">
      <w:start w:val="1"/>
      <w:numFmt w:val="decimal"/>
      <w:suff w:val="nothing"/>
      <w:lvlText w:val="（%1）"/>
      <w:lvlJc w:val="left"/>
    </w:lvl>
  </w:abstractNum>
  <w:abstractNum w:abstractNumId="2">
    <w:nsid w:val="161B2FAC"/>
    <w:multiLevelType w:val="multilevel"/>
    <w:tmpl w:val="161B2FAC"/>
    <w:lvl w:ilvl="0" w:tentative="0">
      <w:start w:val="1"/>
      <w:numFmt w:val="decimal"/>
      <w:lvlText w:val="%1"/>
      <w:lvlJc w:val="left"/>
      <w:pPr>
        <w:tabs>
          <w:tab w:val="left" w:pos="432"/>
        </w:tabs>
        <w:ind w:left="432" w:hanging="432"/>
      </w:pPr>
      <w:rPr>
        <w:rFonts w:hint="eastAsia"/>
      </w:rPr>
    </w:lvl>
    <w:lvl w:ilvl="1" w:tentative="0">
      <w:start w:val="1"/>
      <w:numFmt w:val="decimal"/>
      <w:suff w:val="nothing"/>
      <w:lvlText w:val="%1、%2"/>
      <w:lvlJc w:val="left"/>
      <w:pPr>
        <w:ind w:left="0" w:firstLine="0"/>
      </w:pPr>
      <w:rPr>
        <w:rFonts w:hint="eastAsia"/>
      </w:rPr>
    </w:lvl>
    <w:lvl w:ilvl="2" w:tentative="0">
      <w:start w:val="1"/>
      <w:numFmt w:val="decimal"/>
      <w:pStyle w:val="4"/>
      <w:isLgl/>
      <w:suff w:val="nothing"/>
      <w:lvlText w:val="3.%2.%3"/>
      <w:lvlJc w:val="left"/>
      <w:pPr>
        <w:ind w:left="720" w:hanging="720"/>
      </w:pPr>
      <w:rPr>
        <w:rFonts w:hint="eastAsia" w:ascii="仿宋_GB2312" w:hAnsi="仿宋" w:eastAsia="仿宋_GB2312" w:cs="Times New Roman"/>
        <w:b w:val="0"/>
        <w:i w:val="0"/>
        <w:iCs w:val="0"/>
        <w:caps w:val="0"/>
        <w:smallCaps w:val="0"/>
        <w:strike w:val="0"/>
        <w:dstrike w:val="0"/>
        <w:vanish w:val="0"/>
        <w:spacing w:val="0"/>
        <w:position w:val="0"/>
        <w:u w:val="none"/>
        <w:vertAlign w:val="baseline"/>
      </w:rPr>
    </w:lvl>
    <w:lvl w:ilvl="3" w:tentative="0">
      <w:start w:val="1"/>
      <w:numFmt w:val="decimal"/>
      <w:lvlText w:val="%1.%2.%3.%4"/>
      <w:lvlJc w:val="left"/>
      <w:pPr>
        <w:tabs>
          <w:tab w:val="left" w:pos="864"/>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3">
    <w:nsid w:val="1F9E9045"/>
    <w:multiLevelType w:val="singleLevel"/>
    <w:tmpl w:val="1F9E9045"/>
    <w:lvl w:ilvl="0" w:tentative="0">
      <w:start w:val="1"/>
      <w:numFmt w:val="decimal"/>
      <w:suff w:val="nothing"/>
      <w:lvlText w:val="（%1）"/>
      <w:lvlJc w:val="left"/>
    </w:lvl>
  </w:abstractNum>
  <w:abstractNum w:abstractNumId="4">
    <w:nsid w:val="31B909E3"/>
    <w:multiLevelType w:val="singleLevel"/>
    <w:tmpl w:val="31B909E3"/>
    <w:lvl w:ilvl="0" w:tentative="0">
      <w:start w:val="1"/>
      <w:numFmt w:val="decimal"/>
      <w:suff w:val="nothing"/>
      <w:lvlText w:val="（%1）"/>
      <w:lvlJc w:val="left"/>
    </w:lvl>
  </w:abstractNum>
  <w:abstractNum w:abstractNumId="5">
    <w:nsid w:val="37A9037B"/>
    <w:multiLevelType w:val="multilevel"/>
    <w:tmpl w:val="37A9037B"/>
    <w:lvl w:ilvl="0" w:tentative="0">
      <w:start w:val="1"/>
      <w:numFmt w:val="chineseCountingThousand"/>
      <w:pStyle w:val="3"/>
      <w:suff w:val="nothing"/>
      <w:lvlText w:val="%1、"/>
      <w:lvlJc w:val="left"/>
      <w:pPr>
        <w:ind w:left="420" w:hanging="420"/>
      </w:pPr>
      <w:rPr>
        <w:rFonts w:hint="eastAsia"/>
      </w:rPr>
    </w:lvl>
    <w:lvl w:ilvl="1" w:tentative="0">
      <w:start w:val="1"/>
      <w:numFmt w:val="decimal"/>
      <w:suff w:val="nothing"/>
      <w:lvlText w:val="%1.%2."/>
      <w:lvlJc w:val="left"/>
      <w:pPr>
        <w:ind w:left="1170" w:hanging="960"/>
      </w:pPr>
      <w:rPr>
        <w:rFonts w:hint="default"/>
      </w:rPr>
    </w:lvl>
    <w:lvl w:ilvl="2" w:tentative="0">
      <w:start w:val="1"/>
      <w:numFmt w:val="decimal"/>
      <w:isLgl/>
      <w:lvlText w:val="%1.%2.%3."/>
      <w:lvlJc w:val="left"/>
      <w:pPr>
        <w:tabs>
          <w:tab w:val="left" w:pos="1380"/>
        </w:tabs>
        <w:ind w:left="1380" w:hanging="960"/>
      </w:pPr>
      <w:rPr>
        <w:rFonts w:hint="default"/>
        <w:b w:val="0"/>
        <w:bCs w:val="0"/>
        <w:i w:val="0"/>
        <w:iCs w:val="0"/>
        <w:caps w:val="0"/>
        <w:smallCaps w:val="0"/>
        <w:strike w:val="0"/>
        <w:dstrike w:val="0"/>
        <w:vanish w:val="0"/>
        <w:spacing w:val="0"/>
        <w:position w:val="0"/>
        <w:u w:val="none"/>
        <w:vertAlign w:val="baseline"/>
      </w:rPr>
    </w:lvl>
    <w:lvl w:ilvl="3" w:tentative="0">
      <w:start w:val="1"/>
      <w:numFmt w:val="decimal"/>
      <w:isLgl/>
      <w:lvlText w:val="%1.%2.%3.%4."/>
      <w:lvlJc w:val="left"/>
      <w:pPr>
        <w:tabs>
          <w:tab w:val="left" w:pos="1710"/>
        </w:tabs>
        <w:ind w:left="1710" w:hanging="1080"/>
      </w:pPr>
      <w:rPr>
        <w:rFonts w:hint="default"/>
      </w:rPr>
    </w:lvl>
    <w:lvl w:ilvl="4" w:tentative="0">
      <w:start w:val="1"/>
      <w:numFmt w:val="decimal"/>
      <w:isLgl/>
      <w:lvlText w:val="%1.%2.%3.%4.%5."/>
      <w:lvlJc w:val="left"/>
      <w:pPr>
        <w:tabs>
          <w:tab w:val="left" w:pos="2280"/>
        </w:tabs>
        <w:ind w:left="2280" w:hanging="1440"/>
      </w:pPr>
      <w:rPr>
        <w:rFonts w:hint="default"/>
      </w:rPr>
    </w:lvl>
    <w:lvl w:ilvl="5" w:tentative="0">
      <w:start w:val="1"/>
      <w:numFmt w:val="decimal"/>
      <w:isLgl/>
      <w:lvlText w:val="%1.%2.%3.%4.%5.%6."/>
      <w:lvlJc w:val="left"/>
      <w:pPr>
        <w:tabs>
          <w:tab w:val="left" w:pos="2490"/>
        </w:tabs>
        <w:ind w:left="2490" w:hanging="1440"/>
      </w:pPr>
      <w:rPr>
        <w:rFonts w:hint="default"/>
      </w:rPr>
    </w:lvl>
    <w:lvl w:ilvl="6" w:tentative="0">
      <w:start w:val="1"/>
      <w:numFmt w:val="decimal"/>
      <w:isLgl/>
      <w:lvlText w:val="%1.%2.%3.%4.%5.%6.%7."/>
      <w:lvlJc w:val="left"/>
      <w:pPr>
        <w:tabs>
          <w:tab w:val="left" w:pos="3060"/>
        </w:tabs>
        <w:ind w:left="3060" w:hanging="1800"/>
      </w:pPr>
      <w:rPr>
        <w:rFonts w:hint="default"/>
      </w:rPr>
    </w:lvl>
    <w:lvl w:ilvl="7" w:tentative="0">
      <w:start w:val="1"/>
      <w:numFmt w:val="decimal"/>
      <w:isLgl/>
      <w:lvlText w:val="%1.%2.%3.%4.%5.%6.%7.%8."/>
      <w:lvlJc w:val="left"/>
      <w:pPr>
        <w:tabs>
          <w:tab w:val="left" w:pos="3630"/>
        </w:tabs>
        <w:ind w:left="3630" w:hanging="2160"/>
      </w:pPr>
      <w:rPr>
        <w:rFonts w:hint="default"/>
      </w:rPr>
    </w:lvl>
    <w:lvl w:ilvl="8" w:tentative="0">
      <w:start w:val="1"/>
      <w:numFmt w:val="decimal"/>
      <w:isLgl/>
      <w:lvlText w:val="%1.%2.%3.%4.%5.%6.%7.%8.%9."/>
      <w:lvlJc w:val="left"/>
      <w:pPr>
        <w:tabs>
          <w:tab w:val="left" w:pos="3840"/>
        </w:tabs>
        <w:ind w:left="3840" w:hanging="2160"/>
      </w:pPr>
      <w:rPr>
        <w:rFonts w:hint="default"/>
      </w:rPr>
    </w:lvl>
  </w:abstractNum>
  <w:abstractNum w:abstractNumId="6">
    <w:nsid w:val="3BEC3CC6"/>
    <w:multiLevelType w:val="singleLevel"/>
    <w:tmpl w:val="3BEC3CC6"/>
    <w:lvl w:ilvl="0" w:tentative="0">
      <w:start w:val="1"/>
      <w:numFmt w:val="decimal"/>
      <w:suff w:val="nothing"/>
      <w:lvlText w:val="（%1）"/>
      <w:lvlJc w:val="left"/>
    </w:lvl>
  </w:abstractNum>
  <w:abstractNum w:abstractNumId="7">
    <w:nsid w:val="753A0BEE"/>
    <w:multiLevelType w:val="multilevel"/>
    <w:tmpl w:val="753A0BEE"/>
    <w:lvl w:ilvl="0" w:tentative="0">
      <w:start w:val="1"/>
      <w:numFmt w:val="chineseCountingThousand"/>
      <w:lvlText w:val="第 %1 篇"/>
      <w:lvlJc w:val="left"/>
      <w:pPr>
        <w:tabs>
          <w:tab w:val="left" w:pos="2291"/>
        </w:tabs>
        <w:ind w:left="2291" w:hanging="851"/>
      </w:pPr>
      <w:rPr>
        <w:rFonts w:hint="default" w:ascii="Arial" w:hAnsi="Arial" w:eastAsia="宋体"/>
        <w:b/>
        <w:sz w:val="44"/>
        <w:szCs w:val="44"/>
      </w:rPr>
    </w:lvl>
    <w:lvl w:ilvl="1" w:tentative="0">
      <w:start w:val="1"/>
      <w:numFmt w:val="decimal"/>
      <w:lvlText w:val="第 %2 章"/>
      <w:lvlJc w:val="left"/>
      <w:pPr>
        <w:tabs>
          <w:tab w:val="left" w:pos="3686"/>
        </w:tabs>
        <w:ind w:left="2977" w:firstLine="284"/>
      </w:pPr>
      <w:rPr>
        <w:rFonts w:hint="eastAsia" w:ascii="黑体" w:hAnsi="黑体" w:eastAsia="黑体"/>
        <w:b w:val="0"/>
        <w:i w:val="0"/>
        <w:spacing w:val="-20"/>
        <w:sz w:val="36"/>
        <w:szCs w:val="36"/>
      </w:rPr>
    </w:lvl>
    <w:lvl w:ilvl="2" w:tentative="0">
      <w:start w:val="1"/>
      <w:numFmt w:val="decimal"/>
      <w:lvlText w:val="%3"/>
      <w:lvlJc w:val="left"/>
      <w:pPr>
        <w:tabs>
          <w:tab w:val="left" w:pos="1021"/>
        </w:tabs>
        <w:ind w:left="1021" w:hanging="1021"/>
      </w:pPr>
      <w:rPr>
        <w:rFonts w:hint="default" w:ascii="Arial" w:hAnsi="Arial" w:eastAsia="黑体" w:cs="Arial"/>
        <w:b w:val="0"/>
        <w:sz w:val="24"/>
        <w:szCs w:val="24"/>
      </w:rPr>
    </w:lvl>
    <w:lvl w:ilvl="3" w:tentative="0">
      <w:start w:val="1"/>
      <w:numFmt w:val="decimal"/>
      <w:pStyle w:val="6"/>
      <w:lvlText w:val="%3.%4"/>
      <w:lvlJc w:val="left"/>
      <w:pPr>
        <w:tabs>
          <w:tab w:val="left" w:pos="1589"/>
        </w:tabs>
        <w:ind w:left="1589" w:hanging="1021"/>
      </w:pPr>
      <w:rPr>
        <w:rFonts w:hint="default" w:ascii="Arial" w:hAnsi="Arial" w:eastAsia="黑体" w:cs="Arial"/>
        <w:b w:val="0"/>
        <w:color w:val="000000"/>
        <w:sz w:val="24"/>
        <w:szCs w:val="24"/>
      </w:rPr>
    </w:lvl>
    <w:lvl w:ilvl="4" w:tentative="0">
      <w:start w:val="1"/>
      <w:numFmt w:val="decimal"/>
      <w:lvlText w:val="%3.%4.%5"/>
      <w:lvlJc w:val="left"/>
      <w:pPr>
        <w:tabs>
          <w:tab w:val="left" w:pos="1305"/>
        </w:tabs>
        <w:ind w:left="1305" w:hanging="1021"/>
      </w:pPr>
      <w:rPr>
        <w:rFonts w:hint="default" w:ascii="Arial" w:hAnsi="Arial" w:eastAsia="宋体"/>
        <w:b w:val="0"/>
        <w:color w:val="auto"/>
        <w:sz w:val="24"/>
        <w:szCs w:val="24"/>
      </w:rPr>
    </w:lvl>
    <w:lvl w:ilvl="5" w:tentative="0">
      <w:start w:val="1"/>
      <w:numFmt w:val="decimal"/>
      <w:lvlText w:val="%3.%4.%5.%6"/>
      <w:lvlJc w:val="left"/>
      <w:pPr>
        <w:tabs>
          <w:tab w:val="left" w:pos="1021"/>
        </w:tabs>
        <w:ind w:left="1021" w:hanging="737"/>
      </w:pPr>
      <w:rPr>
        <w:rFonts w:hint="default" w:ascii="Arial" w:hAnsi="Arial" w:eastAsia="宋体"/>
        <w:b w:val="0"/>
        <w:color w:val="auto"/>
        <w:sz w:val="24"/>
        <w:szCs w:val="24"/>
      </w:rPr>
    </w:lvl>
    <w:lvl w:ilvl="6" w:tentative="0">
      <w:start w:val="1"/>
      <w:numFmt w:val="lowerLetter"/>
      <w:lvlText w:val="%7)"/>
      <w:lvlJc w:val="left"/>
      <w:pPr>
        <w:tabs>
          <w:tab w:val="left" w:pos="1101"/>
        </w:tabs>
        <w:ind w:left="1084" w:hanging="454"/>
      </w:pPr>
      <w:rPr>
        <w:rFonts w:hint="default"/>
        <w:b w:val="0"/>
        <w:color w:val="auto"/>
        <w:sz w:val="24"/>
        <w:szCs w:val="24"/>
      </w:rPr>
    </w:lvl>
    <w:lvl w:ilvl="7" w:tentative="0">
      <w:start w:val="1"/>
      <w:numFmt w:val="lowerLetter"/>
      <w:lvlText w:val="%8）"/>
      <w:lvlJc w:val="left"/>
      <w:pPr>
        <w:tabs>
          <w:tab w:val="left" w:pos="5856"/>
        </w:tabs>
        <w:ind w:left="4394" w:hanging="4167"/>
      </w:pPr>
      <w:rPr>
        <w:rFonts w:hint="default" w:ascii="Arial" w:hAnsi="Arial" w:eastAsia="宋体"/>
      </w:rPr>
    </w:lvl>
    <w:lvl w:ilvl="8" w:tentative="0">
      <w:start w:val="1"/>
      <w:numFmt w:val="decimal"/>
      <w:lvlText w:val="%1.%2.%3.%4.%5.%6.%7.%8.%9"/>
      <w:lvlJc w:val="left"/>
      <w:pPr>
        <w:tabs>
          <w:tab w:val="left" w:pos="6642"/>
        </w:tabs>
        <w:ind w:left="5102" w:hanging="1700"/>
      </w:pPr>
      <w:rPr>
        <w:rFonts w:hint="eastAsia"/>
      </w:rPr>
    </w:lvl>
  </w:abstractNum>
  <w:num w:numId="1">
    <w:abstractNumId w:val="5"/>
  </w:num>
  <w:num w:numId="2">
    <w:abstractNumId w:val="2"/>
  </w:num>
  <w:num w:numId="3">
    <w:abstractNumId w:val="7"/>
  </w:num>
  <w:num w:numId="4">
    <w:abstractNumId w:val="4"/>
  </w:num>
  <w:num w:numId="5">
    <w:abstractNumId w:val="1"/>
  </w:num>
  <w:num w:numId="6">
    <w:abstractNumId w:val="0"/>
  </w:num>
  <w:num w:numId="7">
    <w:abstractNumId w:val="3"/>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ExODM3YTFkN2NmYzk3ODE4ZmUzMzEzNzI4YjJmNWYifQ=="/>
  </w:docVars>
  <w:rsids>
    <w:rsidRoot w:val="78C77CA8"/>
    <w:rsid w:val="005B3FA4"/>
    <w:rsid w:val="009D04B6"/>
    <w:rsid w:val="00B64660"/>
    <w:rsid w:val="00E06F6C"/>
    <w:rsid w:val="0125382C"/>
    <w:rsid w:val="0140551C"/>
    <w:rsid w:val="014108DE"/>
    <w:rsid w:val="01474B49"/>
    <w:rsid w:val="01721E21"/>
    <w:rsid w:val="01D64322"/>
    <w:rsid w:val="020254B8"/>
    <w:rsid w:val="02263AA3"/>
    <w:rsid w:val="022A54A9"/>
    <w:rsid w:val="02522CBE"/>
    <w:rsid w:val="029B141C"/>
    <w:rsid w:val="02C36C07"/>
    <w:rsid w:val="02CD2724"/>
    <w:rsid w:val="03132E8F"/>
    <w:rsid w:val="031A075A"/>
    <w:rsid w:val="034A6E41"/>
    <w:rsid w:val="035B2B08"/>
    <w:rsid w:val="039B1981"/>
    <w:rsid w:val="043A1A59"/>
    <w:rsid w:val="0492441D"/>
    <w:rsid w:val="05572169"/>
    <w:rsid w:val="05AC67D3"/>
    <w:rsid w:val="05B846F6"/>
    <w:rsid w:val="05BA2EB8"/>
    <w:rsid w:val="05C84674"/>
    <w:rsid w:val="0648625E"/>
    <w:rsid w:val="07E12AFC"/>
    <w:rsid w:val="07E95EC7"/>
    <w:rsid w:val="07F92E63"/>
    <w:rsid w:val="086575DF"/>
    <w:rsid w:val="087D24F2"/>
    <w:rsid w:val="087E7A10"/>
    <w:rsid w:val="08DA4A5D"/>
    <w:rsid w:val="08EC3C9C"/>
    <w:rsid w:val="092D401B"/>
    <w:rsid w:val="09E90890"/>
    <w:rsid w:val="0A923A06"/>
    <w:rsid w:val="0AC800B8"/>
    <w:rsid w:val="0B0A4242"/>
    <w:rsid w:val="0B3C7F97"/>
    <w:rsid w:val="0B8B0E74"/>
    <w:rsid w:val="0C4D04AB"/>
    <w:rsid w:val="0C61460D"/>
    <w:rsid w:val="0C640A9F"/>
    <w:rsid w:val="0CBF6E29"/>
    <w:rsid w:val="0CDB3DB9"/>
    <w:rsid w:val="0D5058D1"/>
    <w:rsid w:val="0D66415B"/>
    <w:rsid w:val="0D722E72"/>
    <w:rsid w:val="0D8433E5"/>
    <w:rsid w:val="0DD06AB7"/>
    <w:rsid w:val="0EB878A3"/>
    <w:rsid w:val="0EC2535F"/>
    <w:rsid w:val="0F143A26"/>
    <w:rsid w:val="0F80588B"/>
    <w:rsid w:val="0FE454E2"/>
    <w:rsid w:val="101E7180"/>
    <w:rsid w:val="10B07BDC"/>
    <w:rsid w:val="10E5408B"/>
    <w:rsid w:val="10F063CB"/>
    <w:rsid w:val="115F7210"/>
    <w:rsid w:val="11A2261C"/>
    <w:rsid w:val="11BD17A8"/>
    <w:rsid w:val="11FC4B10"/>
    <w:rsid w:val="120B793E"/>
    <w:rsid w:val="123B48A6"/>
    <w:rsid w:val="125B79D7"/>
    <w:rsid w:val="12A43537"/>
    <w:rsid w:val="12E77F91"/>
    <w:rsid w:val="1306571D"/>
    <w:rsid w:val="131961E1"/>
    <w:rsid w:val="135D0B70"/>
    <w:rsid w:val="135D1254"/>
    <w:rsid w:val="136B5C95"/>
    <w:rsid w:val="13B81BCF"/>
    <w:rsid w:val="13D00E41"/>
    <w:rsid w:val="150D1EEA"/>
    <w:rsid w:val="155E776E"/>
    <w:rsid w:val="15B449EC"/>
    <w:rsid w:val="15CB20E8"/>
    <w:rsid w:val="161476B2"/>
    <w:rsid w:val="16323B6E"/>
    <w:rsid w:val="164F594E"/>
    <w:rsid w:val="16A87FBD"/>
    <w:rsid w:val="16C85768"/>
    <w:rsid w:val="171C7676"/>
    <w:rsid w:val="17283B34"/>
    <w:rsid w:val="173E453E"/>
    <w:rsid w:val="174B68C4"/>
    <w:rsid w:val="180A788B"/>
    <w:rsid w:val="181844EC"/>
    <w:rsid w:val="182A7EFF"/>
    <w:rsid w:val="183F1D57"/>
    <w:rsid w:val="184547F5"/>
    <w:rsid w:val="186D2F42"/>
    <w:rsid w:val="18F639C7"/>
    <w:rsid w:val="195639F3"/>
    <w:rsid w:val="1A5262B4"/>
    <w:rsid w:val="1AC21C5E"/>
    <w:rsid w:val="1BD00F30"/>
    <w:rsid w:val="1BD877BE"/>
    <w:rsid w:val="1C177904"/>
    <w:rsid w:val="1C20460E"/>
    <w:rsid w:val="1C2D1545"/>
    <w:rsid w:val="1C670671"/>
    <w:rsid w:val="1C714FD3"/>
    <w:rsid w:val="1C724620"/>
    <w:rsid w:val="1C86660C"/>
    <w:rsid w:val="1D116D3C"/>
    <w:rsid w:val="1DA2548D"/>
    <w:rsid w:val="1DDD0595"/>
    <w:rsid w:val="1DEB44A1"/>
    <w:rsid w:val="1E135665"/>
    <w:rsid w:val="1E171AD6"/>
    <w:rsid w:val="1E634BB5"/>
    <w:rsid w:val="1E6A6427"/>
    <w:rsid w:val="1EE53D71"/>
    <w:rsid w:val="1F034E9C"/>
    <w:rsid w:val="1F3A7CBB"/>
    <w:rsid w:val="1F884C38"/>
    <w:rsid w:val="1FAB1EEC"/>
    <w:rsid w:val="1FE74C78"/>
    <w:rsid w:val="1FEB2228"/>
    <w:rsid w:val="1FFA7A84"/>
    <w:rsid w:val="201651FF"/>
    <w:rsid w:val="201A4EAA"/>
    <w:rsid w:val="20577E1E"/>
    <w:rsid w:val="20DA36E2"/>
    <w:rsid w:val="20FB57B7"/>
    <w:rsid w:val="21004DB3"/>
    <w:rsid w:val="214068F6"/>
    <w:rsid w:val="214F7E95"/>
    <w:rsid w:val="2218551C"/>
    <w:rsid w:val="22E177BF"/>
    <w:rsid w:val="22F265FE"/>
    <w:rsid w:val="23732EAB"/>
    <w:rsid w:val="24710ED7"/>
    <w:rsid w:val="24E70C5C"/>
    <w:rsid w:val="250A7DD1"/>
    <w:rsid w:val="251A2669"/>
    <w:rsid w:val="25CC640B"/>
    <w:rsid w:val="263C5FC5"/>
    <w:rsid w:val="26A265FE"/>
    <w:rsid w:val="26D71646"/>
    <w:rsid w:val="27066213"/>
    <w:rsid w:val="27A41D16"/>
    <w:rsid w:val="28A009A6"/>
    <w:rsid w:val="28C4427A"/>
    <w:rsid w:val="28E11768"/>
    <w:rsid w:val="28E36FB3"/>
    <w:rsid w:val="29270A3D"/>
    <w:rsid w:val="29713987"/>
    <w:rsid w:val="29870361"/>
    <w:rsid w:val="29D60CAE"/>
    <w:rsid w:val="2A6F1D6B"/>
    <w:rsid w:val="2A7B3DD5"/>
    <w:rsid w:val="2B0C7785"/>
    <w:rsid w:val="2B355467"/>
    <w:rsid w:val="2BE84159"/>
    <w:rsid w:val="2BFB05B2"/>
    <w:rsid w:val="2BFF2253"/>
    <w:rsid w:val="2C477F88"/>
    <w:rsid w:val="2C9D5AFC"/>
    <w:rsid w:val="2D66108E"/>
    <w:rsid w:val="2E1229C4"/>
    <w:rsid w:val="2E5C629D"/>
    <w:rsid w:val="2E6D6944"/>
    <w:rsid w:val="2EE46107"/>
    <w:rsid w:val="2F780429"/>
    <w:rsid w:val="2F7F157A"/>
    <w:rsid w:val="2FB05D16"/>
    <w:rsid w:val="30181A4A"/>
    <w:rsid w:val="307D196A"/>
    <w:rsid w:val="30A718EA"/>
    <w:rsid w:val="30AE2E2E"/>
    <w:rsid w:val="31083783"/>
    <w:rsid w:val="3115220C"/>
    <w:rsid w:val="314406B3"/>
    <w:rsid w:val="318E71E3"/>
    <w:rsid w:val="3235790C"/>
    <w:rsid w:val="334920FC"/>
    <w:rsid w:val="33546DEC"/>
    <w:rsid w:val="33CD2D0E"/>
    <w:rsid w:val="343A5763"/>
    <w:rsid w:val="34DE5A9F"/>
    <w:rsid w:val="35004100"/>
    <w:rsid w:val="35050325"/>
    <w:rsid w:val="35573B04"/>
    <w:rsid w:val="358064FF"/>
    <w:rsid w:val="35CA4FF4"/>
    <w:rsid w:val="35E244A3"/>
    <w:rsid w:val="369076EF"/>
    <w:rsid w:val="36A757A3"/>
    <w:rsid w:val="36CA3770"/>
    <w:rsid w:val="36DF5E80"/>
    <w:rsid w:val="37196B2C"/>
    <w:rsid w:val="375A084F"/>
    <w:rsid w:val="37961BBF"/>
    <w:rsid w:val="383A201C"/>
    <w:rsid w:val="38802947"/>
    <w:rsid w:val="38C20CA4"/>
    <w:rsid w:val="38DA3357"/>
    <w:rsid w:val="391D2220"/>
    <w:rsid w:val="39A57F58"/>
    <w:rsid w:val="39E21744"/>
    <w:rsid w:val="3A1363B1"/>
    <w:rsid w:val="3A304EA4"/>
    <w:rsid w:val="3AA4494C"/>
    <w:rsid w:val="3AEE75DE"/>
    <w:rsid w:val="3B621842"/>
    <w:rsid w:val="3B7C3623"/>
    <w:rsid w:val="3B7E4A28"/>
    <w:rsid w:val="3BAB67F1"/>
    <w:rsid w:val="3BB64669"/>
    <w:rsid w:val="3C0F25EC"/>
    <w:rsid w:val="3C2F5AC2"/>
    <w:rsid w:val="3C763272"/>
    <w:rsid w:val="3CAC7520"/>
    <w:rsid w:val="3CDD0126"/>
    <w:rsid w:val="3D0047E8"/>
    <w:rsid w:val="3D4F6914"/>
    <w:rsid w:val="3D5877B1"/>
    <w:rsid w:val="3D592C36"/>
    <w:rsid w:val="3D5D7342"/>
    <w:rsid w:val="3DF40CB5"/>
    <w:rsid w:val="3E1C0297"/>
    <w:rsid w:val="3E5E705F"/>
    <w:rsid w:val="3E6C795A"/>
    <w:rsid w:val="3EC34805"/>
    <w:rsid w:val="3EC96126"/>
    <w:rsid w:val="3ED84BE4"/>
    <w:rsid w:val="3F6E2EBA"/>
    <w:rsid w:val="40402A78"/>
    <w:rsid w:val="408908EE"/>
    <w:rsid w:val="40BF20FD"/>
    <w:rsid w:val="40CD40DB"/>
    <w:rsid w:val="40DC0A6A"/>
    <w:rsid w:val="414B6020"/>
    <w:rsid w:val="41B55E5D"/>
    <w:rsid w:val="42340929"/>
    <w:rsid w:val="423E1D39"/>
    <w:rsid w:val="425A0B69"/>
    <w:rsid w:val="42A95037"/>
    <w:rsid w:val="42C434FD"/>
    <w:rsid w:val="432B33EC"/>
    <w:rsid w:val="43B75A15"/>
    <w:rsid w:val="43D02BB3"/>
    <w:rsid w:val="440B6331"/>
    <w:rsid w:val="44B567CA"/>
    <w:rsid w:val="44BA4906"/>
    <w:rsid w:val="45350D4D"/>
    <w:rsid w:val="458B1CA5"/>
    <w:rsid w:val="4652367A"/>
    <w:rsid w:val="466258E3"/>
    <w:rsid w:val="47C83278"/>
    <w:rsid w:val="47CD40E7"/>
    <w:rsid w:val="47DE1511"/>
    <w:rsid w:val="481B3A82"/>
    <w:rsid w:val="48483876"/>
    <w:rsid w:val="484A35B2"/>
    <w:rsid w:val="48A52AA8"/>
    <w:rsid w:val="48BD4AAC"/>
    <w:rsid w:val="492D1E54"/>
    <w:rsid w:val="495A2E87"/>
    <w:rsid w:val="4A154318"/>
    <w:rsid w:val="4A563B77"/>
    <w:rsid w:val="4A8658D0"/>
    <w:rsid w:val="4B261E5C"/>
    <w:rsid w:val="4B5168C6"/>
    <w:rsid w:val="4B675224"/>
    <w:rsid w:val="4B903383"/>
    <w:rsid w:val="4B9F639D"/>
    <w:rsid w:val="4C195122"/>
    <w:rsid w:val="4C28014E"/>
    <w:rsid w:val="4C545E87"/>
    <w:rsid w:val="4CA80B18"/>
    <w:rsid w:val="4CFA088B"/>
    <w:rsid w:val="4DAF57C5"/>
    <w:rsid w:val="4DBC14A9"/>
    <w:rsid w:val="4DD33326"/>
    <w:rsid w:val="4E032679"/>
    <w:rsid w:val="4E3575F7"/>
    <w:rsid w:val="4E6A73E8"/>
    <w:rsid w:val="4ED6266E"/>
    <w:rsid w:val="4EE979E2"/>
    <w:rsid w:val="4F4F0D91"/>
    <w:rsid w:val="4F6D24CB"/>
    <w:rsid w:val="4FC70F02"/>
    <w:rsid w:val="4FCE7535"/>
    <w:rsid w:val="508B74C5"/>
    <w:rsid w:val="508D1982"/>
    <w:rsid w:val="50AF4DF9"/>
    <w:rsid w:val="5182092E"/>
    <w:rsid w:val="52080A36"/>
    <w:rsid w:val="52450FE6"/>
    <w:rsid w:val="528F2E75"/>
    <w:rsid w:val="52A33FAB"/>
    <w:rsid w:val="52BE684A"/>
    <w:rsid w:val="531A6AF1"/>
    <w:rsid w:val="539A6C1C"/>
    <w:rsid w:val="53DD0548"/>
    <w:rsid w:val="5400117A"/>
    <w:rsid w:val="55054D9F"/>
    <w:rsid w:val="5559469D"/>
    <w:rsid w:val="559E09FF"/>
    <w:rsid w:val="55CF27EE"/>
    <w:rsid w:val="55DB3C7C"/>
    <w:rsid w:val="5600344C"/>
    <w:rsid w:val="564A221E"/>
    <w:rsid w:val="564B0DAA"/>
    <w:rsid w:val="56AF259B"/>
    <w:rsid w:val="56E93713"/>
    <w:rsid w:val="573C4ACC"/>
    <w:rsid w:val="577E1988"/>
    <w:rsid w:val="57853F68"/>
    <w:rsid w:val="57B015D2"/>
    <w:rsid w:val="57BC4CB1"/>
    <w:rsid w:val="57DD4B49"/>
    <w:rsid w:val="57E733B6"/>
    <w:rsid w:val="583D6A3D"/>
    <w:rsid w:val="5872092A"/>
    <w:rsid w:val="58C56513"/>
    <w:rsid w:val="59425727"/>
    <w:rsid w:val="59614183"/>
    <w:rsid w:val="59986EB8"/>
    <w:rsid w:val="59F50A8B"/>
    <w:rsid w:val="5A5C296B"/>
    <w:rsid w:val="5A6F4EA9"/>
    <w:rsid w:val="5A8E7890"/>
    <w:rsid w:val="5B247596"/>
    <w:rsid w:val="5B704D50"/>
    <w:rsid w:val="5B724585"/>
    <w:rsid w:val="5B7257A9"/>
    <w:rsid w:val="5BAC1147"/>
    <w:rsid w:val="5C1A36AB"/>
    <w:rsid w:val="5C457A17"/>
    <w:rsid w:val="5C714441"/>
    <w:rsid w:val="5C864257"/>
    <w:rsid w:val="5CBD27BF"/>
    <w:rsid w:val="5D285487"/>
    <w:rsid w:val="5D2C60D5"/>
    <w:rsid w:val="5D9A78AA"/>
    <w:rsid w:val="5DA70C30"/>
    <w:rsid w:val="5DBF659B"/>
    <w:rsid w:val="5E014BAA"/>
    <w:rsid w:val="5E0241F6"/>
    <w:rsid w:val="5E0E7A83"/>
    <w:rsid w:val="5E3D1B97"/>
    <w:rsid w:val="5E4332B3"/>
    <w:rsid w:val="5E4C3063"/>
    <w:rsid w:val="5E581F9F"/>
    <w:rsid w:val="5E8A12E2"/>
    <w:rsid w:val="5ED32A60"/>
    <w:rsid w:val="5F1F77F8"/>
    <w:rsid w:val="5F5D3690"/>
    <w:rsid w:val="5F96251D"/>
    <w:rsid w:val="60106D27"/>
    <w:rsid w:val="6042276E"/>
    <w:rsid w:val="60461F43"/>
    <w:rsid w:val="606A5F4F"/>
    <w:rsid w:val="60710EA2"/>
    <w:rsid w:val="60761250"/>
    <w:rsid w:val="60DE2FF8"/>
    <w:rsid w:val="60EF442D"/>
    <w:rsid w:val="60FF2742"/>
    <w:rsid w:val="61151B82"/>
    <w:rsid w:val="614A2EBF"/>
    <w:rsid w:val="61893E10"/>
    <w:rsid w:val="62020858"/>
    <w:rsid w:val="6234576A"/>
    <w:rsid w:val="6240283F"/>
    <w:rsid w:val="626173CC"/>
    <w:rsid w:val="62A628C3"/>
    <w:rsid w:val="62ED63C0"/>
    <w:rsid w:val="634B465E"/>
    <w:rsid w:val="634D4DBF"/>
    <w:rsid w:val="64477F02"/>
    <w:rsid w:val="6515062E"/>
    <w:rsid w:val="659041FD"/>
    <w:rsid w:val="660829E6"/>
    <w:rsid w:val="665C428F"/>
    <w:rsid w:val="66D70CA2"/>
    <w:rsid w:val="672C78C5"/>
    <w:rsid w:val="673E44FD"/>
    <w:rsid w:val="67760836"/>
    <w:rsid w:val="678F4CF3"/>
    <w:rsid w:val="6798333E"/>
    <w:rsid w:val="6799331E"/>
    <w:rsid w:val="67B711D7"/>
    <w:rsid w:val="67D82EAE"/>
    <w:rsid w:val="685974BA"/>
    <w:rsid w:val="68DD7A12"/>
    <w:rsid w:val="6926728F"/>
    <w:rsid w:val="692D4916"/>
    <w:rsid w:val="6966263E"/>
    <w:rsid w:val="69756114"/>
    <w:rsid w:val="69966E53"/>
    <w:rsid w:val="69D306AC"/>
    <w:rsid w:val="6A191D7D"/>
    <w:rsid w:val="6A226BA8"/>
    <w:rsid w:val="6A3938D4"/>
    <w:rsid w:val="6A4A7AAA"/>
    <w:rsid w:val="6A677100"/>
    <w:rsid w:val="6A9774F1"/>
    <w:rsid w:val="6AC87BB0"/>
    <w:rsid w:val="6AFE647A"/>
    <w:rsid w:val="6B8A04D3"/>
    <w:rsid w:val="6BB14AAE"/>
    <w:rsid w:val="6C053E44"/>
    <w:rsid w:val="6C185219"/>
    <w:rsid w:val="6C2B1F28"/>
    <w:rsid w:val="6C411B7B"/>
    <w:rsid w:val="6CCA5013"/>
    <w:rsid w:val="6D10372C"/>
    <w:rsid w:val="6D247DE5"/>
    <w:rsid w:val="6D2C5DF7"/>
    <w:rsid w:val="6D8C7C61"/>
    <w:rsid w:val="6DB400D2"/>
    <w:rsid w:val="6DB5394D"/>
    <w:rsid w:val="6DDE3F0D"/>
    <w:rsid w:val="6DE613DD"/>
    <w:rsid w:val="6EB420D5"/>
    <w:rsid w:val="6FD0517F"/>
    <w:rsid w:val="6FD1176F"/>
    <w:rsid w:val="70342A47"/>
    <w:rsid w:val="70661DFF"/>
    <w:rsid w:val="70A8578A"/>
    <w:rsid w:val="70AC514F"/>
    <w:rsid w:val="711112F6"/>
    <w:rsid w:val="71B12F77"/>
    <w:rsid w:val="72000C97"/>
    <w:rsid w:val="72320EB8"/>
    <w:rsid w:val="72360312"/>
    <w:rsid w:val="72453989"/>
    <w:rsid w:val="72692021"/>
    <w:rsid w:val="726D011B"/>
    <w:rsid w:val="726E6E00"/>
    <w:rsid w:val="73E3638A"/>
    <w:rsid w:val="73E76C60"/>
    <w:rsid w:val="74171327"/>
    <w:rsid w:val="74321EB0"/>
    <w:rsid w:val="746016FA"/>
    <w:rsid w:val="75057C8A"/>
    <w:rsid w:val="75114771"/>
    <w:rsid w:val="75C20A84"/>
    <w:rsid w:val="762F1B4E"/>
    <w:rsid w:val="76394804"/>
    <w:rsid w:val="76645A4A"/>
    <w:rsid w:val="76D707F8"/>
    <w:rsid w:val="76EF49BA"/>
    <w:rsid w:val="77344F3D"/>
    <w:rsid w:val="77353B5A"/>
    <w:rsid w:val="7781259C"/>
    <w:rsid w:val="77BF45F5"/>
    <w:rsid w:val="77CE5B33"/>
    <w:rsid w:val="77E011ED"/>
    <w:rsid w:val="77F03ED5"/>
    <w:rsid w:val="783D6933"/>
    <w:rsid w:val="78C77CA8"/>
    <w:rsid w:val="791E0D99"/>
    <w:rsid w:val="7953636E"/>
    <w:rsid w:val="795D197B"/>
    <w:rsid w:val="79B46EB4"/>
    <w:rsid w:val="79BD0489"/>
    <w:rsid w:val="79F322B9"/>
    <w:rsid w:val="79FD42C1"/>
    <w:rsid w:val="7A047166"/>
    <w:rsid w:val="7A196C77"/>
    <w:rsid w:val="7A4C7490"/>
    <w:rsid w:val="7A503403"/>
    <w:rsid w:val="7A7975B2"/>
    <w:rsid w:val="7B9300CE"/>
    <w:rsid w:val="7BB6435E"/>
    <w:rsid w:val="7BCC11DE"/>
    <w:rsid w:val="7BCF171F"/>
    <w:rsid w:val="7BCF216F"/>
    <w:rsid w:val="7BFE58F9"/>
    <w:rsid w:val="7C3631B0"/>
    <w:rsid w:val="7C7B13A0"/>
    <w:rsid w:val="7C92616D"/>
    <w:rsid w:val="7CD1219B"/>
    <w:rsid w:val="7CF56B0F"/>
    <w:rsid w:val="7D076C19"/>
    <w:rsid w:val="7D2B5066"/>
    <w:rsid w:val="7E0460BD"/>
    <w:rsid w:val="7E122A05"/>
    <w:rsid w:val="7E2A110A"/>
    <w:rsid w:val="7E30784B"/>
    <w:rsid w:val="7E4F463C"/>
    <w:rsid w:val="7E9172A5"/>
    <w:rsid w:val="7EF35CD7"/>
    <w:rsid w:val="7F2A003C"/>
    <w:rsid w:val="7F7A65C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3">
    <w:name w:val="heading 1"/>
    <w:basedOn w:val="1"/>
    <w:next w:val="1"/>
    <w:qFormat/>
    <w:uiPriority w:val="0"/>
    <w:pPr>
      <w:keepNext/>
      <w:keepLines/>
      <w:numPr>
        <w:ilvl w:val="0"/>
        <w:numId w:val="1"/>
      </w:numPr>
      <w:spacing w:line="500" w:lineRule="exact"/>
      <w:outlineLvl w:val="0"/>
    </w:pPr>
    <w:rPr>
      <w:b/>
      <w:bCs/>
      <w:kern w:val="44"/>
      <w:sz w:val="24"/>
      <w:szCs w:val="44"/>
    </w:rPr>
  </w:style>
  <w:style w:type="paragraph" w:styleId="2">
    <w:name w:val="heading 2"/>
    <w:basedOn w:val="1"/>
    <w:next w:val="1"/>
    <w:qFormat/>
    <w:uiPriority w:val="0"/>
    <w:pPr>
      <w:keepNext/>
      <w:keepLines/>
      <w:spacing w:before="260" w:after="260" w:line="410" w:lineRule="auto"/>
      <w:outlineLvl w:val="1"/>
    </w:pPr>
    <w:rPr>
      <w:rFonts w:ascii="Arial" w:hAnsi="Arial" w:eastAsia="黑体" w:cs="Arial"/>
      <w:b/>
      <w:bCs/>
      <w:sz w:val="32"/>
      <w:szCs w:val="32"/>
    </w:rPr>
  </w:style>
  <w:style w:type="paragraph" w:styleId="4">
    <w:name w:val="heading 3"/>
    <w:basedOn w:val="1"/>
    <w:next w:val="5"/>
    <w:qFormat/>
    <w:uiPriority w:val="0"/>
    <w:pPr>
      <w:keepNext/>
      <w:keepLines/>
      <w:numPr>
        <w:ilvl w:val="2"/>
        <w:numId w:val="2"/>
      </w:numPr>
      <w:spacing w:line="500" w:lineRule="exact"/>
      <w:outlineLvl w:val="2"/>
    </w:pPr>
    <w:rPr>
      <w:rFonts w:ascii="宋体"/>
      <w:bCs/>
      <w:sz w:val="24"/>
      <w:szCs w:val="24"/>
    </w:rPr>
  </w:style>
  <w:style w:type="paragraph" w:styleId="6">
    <w:name w:val="heading 4"/>
    <w:basedOn w:val="1"/>
    <w:next w:val="1"/>
    <w:qFormat/>
    <w:uiPriority w:val="0"/>
    <w:pPr>
      <w:keepNext/>
      <w:numPr>
        <w:ilvl w:val="3"/>
        <w:numId w:val="3"/>
      </w:numPr>
      <w:tabs>
        <w:tab w:val="left" w:pos="600"/>
      </w:tabs>
      <w:spacing w:line="240" w:lineRule="auto"/>
      <w:jc w:val="center"/>
      <w:outlineLvl w:val="3"/>
    </w:pPr>
    <w:rPr>
      <w:rFonts w:ascii="Times New Roman"/>
      <w:b/>
      <w:color w:val="000000"/>
      <w:spacing w:val="-20"/>
      <w:sz w:val="21"/>
    </w:rPr>
  </w:style>
  <w:style w:type="paragraph" w:styleId="7">
    <w:name w:val="heading 5"/>
    <w:basedOn w:val="1"/>
    <w:next w:val="1"/>
    <w:qFormat/>
    <w:uiPriority w:val="0"/>
    <w:pPr>
      <w:keepNext/>
      <w:keepLines/>
      <w:widowControl w:val="0"/>
      <w:spacing w:before="280" w:after="290" w:line="376" w:lineRule="auto"/>
      <w:jc w:val="both"/>
      <w:outlineLvl w:val="4"/>
    </w:pPr>
    <w:rPr>
      <w:rFonts w:ascii="Times New Roman" w:hAnsi="Times New Roman"/>
      <w:b/>
      <w:bCs/>
      <w:kern w:val="2"/>
      <w:sz w:val="28"/>
      <w:szCs w:val="28"/>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5">
    <w:name w:val="Normal Indent"/>
    <w:basedOn w:val="1"/>
    <w:qFormat/>
    <w:uiPriority w:val="0"/>
    <w:pPr>
      <w:adjustRightInd w:val="0"/>
      <w:spacing w:line="360" w:lineRule="atLeast"/>
      <w:ind w:firstLine="420"/>
      <w:jc w:val="left"/>
      <w:textAlignment w:val="baseline"/>
    </w:pPr>
    <w:rPr>
      <w:kern w:val="0"/>
      <w:sz w:val="24"/>
      <w:szCs w:val="24"/>
    </w:rPr>
  </w:style>
  <w:style w:type="paragraph" w:styleId="8">
    <w:name w:val="Plain Text"/>
    <w:basedOn w:val="1"/>
    <w:qFormat/>
    <w:uiPriority w:val="0"/>
    <w:pPr>
      <w:adjustRightInd w:val="0"/>
      <w:spacing w:line="312" w:lineRule="atLeast"/>
    </w:pPr>
    <w:rPr>
      <w:rFonts w:ascii="宋体" w:hAnsi="Courier New" w:cs="宋体"/>
      <w:kern w:val="0"/>
    </w:rPr>
  </w:style>
  <w:style w:type="paragraph" w:styleId="9">
    <w:name w:val="Date"/>
    <w:basedOn w:val="1"/>
    <w:next w:val="1"/>
    <w:qFormat/>
    <w:uiPriority w:val="0"/>
    <w:pPr>
      <w:ind w:left="100" w:leftChars="2500"/>
    </w:pPr>
    <w:rPr>
      <w:rFonts w:eastAsia="仿宋_GB2312"/>
      <w:sz w:val="28"/>
    </w:rPr>
  </w:style>
  <w:style w:type="paragraph" w:styleId="10">
    <w:name w:val="footer"/>
    <w:basedOn w:val="1"/>
    <w:qFormat/>
    <w:uiPriority w:val="0"/>
    <w:pPr>
      <w:tabs>
        <w:tab w:val="center" w:pos="4153"/>
        <w:tab w:val="right" w:pos="8306"/>
      </w:tabs>
      <w:snapToGrid w:val="0"/>
      <w:jc w:val="left"/>
    </w:pPr>
    <w:rPr>
      <w:sz w:val="18"/>
      <w:szCs w:val="18"/>
    </w:rPr>
  </w:style>
  <w:style w:type="paragraph" w:styleId="11">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2">
    <w:name w:val="toc 1"/>
    <w:basedOn w:val="1"/>
    <w:next w:val="1"/>
    <w:qFormat/>
    <w:uiPriority w:val="39"/>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0"/>
    <w:rPr>
      <w:b/>
    </w:rPr>
  </w:style>
  <w:style w:type="character" w:styleId="17">
    <w:name w:val="page number"/>
    <w:basedOn w:val="15"/>
    <w:qFormat/>
    <w:uiPriority w:val="0"/>
  </w:style>
  <w:style w:type="character" w:styleId="18">
    <w:name w:val="Hyperlink"/>
    <w:qFormat/>
    <w:uiPriority w:val="99"/>
    <w:rPr>
      <w:color w:val="0000FF"/>
      <w:u w:val="single"/>
    </w:rPr>
  </w:style>
  <w:style w:type="paragraph" w:customStyle="1" w:styleId="19">
    <w:name w:val="四级标题"/>
    <w:basedOn w:val="9"/>
    <w:qFormat/>
    <w:uiPriority w:val="0"/>
    <w:rPr>
      <w:rFonts w:eastAsia="黑体"/>
      <w:szCs w:val="22"/>
    </w:rPr>
  </w:style>
  <w:style w:type="paragraph" w:customStyle="1" w:styleId="20">
    <w:name w:val="List Paragraph"/>
    <w:basedOn w:val="1"/>
    <w:qFormat/>
    <w:uiPriority w:val="34"/>
    <w:pPr>
      <w:ind w:firstLine="420" w:firstLineChars="200"/>
    </w:pPr>
    <w:rPr>
      <w:rFonts w:ascii="Calibri" w:hAnsi="Calibri"/>
      <w:szCs w:val="22"/>
    </w:rPr>
  </w:style>
  <w:style w:type="paragraph" w:customStyle="1" w:styleId="21">
    <w:name w:val="WPSOffice手动目录 1"/>
    <w:qFormat/>
    <w:uiPriority w:val="0"/>
    <w:pPr>
      <w:ind w:leftChars="0"/>
    </w:pPr>
    <w:rPr>
      <w:rFonts w:ascii="Times New Roman" w:hAnsi="Times New Roman" w:eastAsia="宋体" w:cs="Times New Roman"/>
      <w:sz w:val="20"/>
      <w:szCs w:val="20"/>
    </w:rPr>
  </w:style>
</w:styles>
</file>

<file path=word/_rels/document.xml.rels><?xml version="1.0" encoding="UTF-8" standalone="yes"?>
<Relationships xmlns="http://schemas.openxmlformats.org/package/2006/relationships"><Relationship Id="rId9" Type="http://schemas.openxmlformats.org/officeDocument/2006/relationships/footer" Target="footer6.xml"/><Relationship Id="rId8" Type="http://schemas.openxmlformats.org/officeDocument/2006/relationships/footer" Target="footer5.xml"/><Relationship Id="rId7" Type="http://schemas.openxmlformats.org/officeDocument/2006/relationships/header" Target="header1.xml"/><Relationship Id="rId6" Type="http://schemas.openxmlformats.org/officeDocument/2006/relationships/footer" Target="footer4.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7" Type="http://schemas.openxmlformats.org/officeDocument/2006/relationships/glossaryDocument" Target="glossary/document.xml"/><Relationship Id="rId16" Type="http://schemas.openxmlformats.org/officeDocument/2006/relationships/fontTable" Target="fontTable.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1.emf"/><Relationship Id="rId12" Type="http://schemas.openxmlformats.org/officeDocument/2006/relationships/theme" Target="theme/theme1.xml"/><Relationship Id="rId11" Type="http://schemas.openxmlformats.org/officeDocument/2006/relationships/footer" Target="footer7.xml"/><Relationship Id="rId10" Type="http://schemas.openxmlformats.org/officeDocument/2006/relationships/header" Target="header2.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35f769bb-109f-40e6-ba5b-5082843af148}"/>
        <w:style w:val=""/>
        <w:category>
          <w:name w:val="常规"/>
          <w:gallery w:val="placeholder"/>
        </w:category>
        <w:types>
          <w:type w:val="bbPlcHdr"/>
        </w:types>
        <w:behaviors>
          <w:behavior w:val="content"/>
        </w:behaviors>
        <w:description w:val=""/>
        <w:guid w:val="{35f769bb-109f-40e6-ba5b-5082843af148}"/>
      </w:docPartPr>
      <w:docPartBody>
        <w:p>
          <w:r>
            <w:rPr>
              <w:color w:val="808080"/>
            </w:rPr>
            <w:t>单击此处输入文字。</w:t>
          </w:r>
        </w:p>
      </w:docPartBody>
    </w:docPart>
    <w:docPart>
      <w:docPartPr>
        <w:name w:val="{b925b3ff-1e49-4101-999f-6f7e77728114}"/>
        <w:style w:val=""/>
        <w:category>
          <w:name w:val="常规"/>
          <w:gallery w:val="placeholder"/>
        </w:category>
        <w:types>
          <w:type w:val="bbPlcHdr"/>
        </w:types>
        <w:behaviors>
          <w:behavior w:val="content"/>
        </w:behaviors>
        <w:description w:val=""/>
        <w:guid w:val="{b925b3ff-1e49-4101-999f-6f7e77728114}"/>
      </w:docPartPr>
      <w:docPartBody>
        <w:p>
          <w:r>
            <w:rPr>
              <w:color w:val="808080"/>
            </w:rPr>
            <w:t>单击此处输入文字。</w:t>
          </w:r>
        </w:p>
      </w:docPartBody>
    </w:docPart>
    <w:docPart>
      <w:docPartPr>
        <w:name w:val="{473cd3d7-664a-414f-9beb-b5d2aa328b8e}"/>
        <w:style w:val=""/>
        <w:category>
          <w:name w:val="常规"/>
          <w:gallery w:val="placeholder"/>
        </w:category>
        <w:types>
          <w:type w:val="bbPlcHdr"/>
        </w:types>
        <w:behaviors>
          <w:behavior w:val="content"/>
        </w:behaviors>
        <w:description w:val=""/>
        <w:guid w:val="{473cd3d7-664a-414f-9beb-b5d2aa328b8e}"/>
      </w:docPartPr>
      <w:docPartBody>
        <w:p>
          <w:r>
            <w:rPr>
              <w:color w:val="808080"/>
            </w:rPr>
            <w:t>单击此处输入文字。</w:t>
          </w:r>
        </w:p>
      </w:docPartBody>
    </w:docPart>
    <w:docPart>
      <w:docPartPr>
        <w:name w:val="{a42598c1-cdd3-44b5-94ce-b282ff5bc58e}"/>
        <w:style w:val=""/>
        <w:category>
          <w:name w:val="常规"/>
          <w:gallery w:val="placeholder"/>
        </w:category>
        <w:types>
          <w:type w:val="bbPlcHdr"/>
        </w:types>
        <w:behaviors>
          <w:behavior w:val="content"/>
        </w:behaviors>
        <w:description w:val=""/>
        <w:guid w:val="{a42598c1-cdd3-44b5-94ce-b282ff5bc58e}"/>
      </w:docPartPr>
      <w:docPartBody>
        <w:p>
          <w:r>
            <w:rPr>
              <w:color w:val="808080"/>
            </w:rPr>
            <w:t>单击此处输入文字。</w:t>
          </w:r>
        </w:p>
      </w:docPartBody>
    </w:docPart>
    <w:docPart>
      <w:docPartPr>
        <w:name w:val="{ae4bf55f-ffc3-4b61-9828-f996be5a911f}"/>
        <w:style w:val=""/>
        <w:category>
          <w:name w:val="常规"/>
          <w:gallery w:val="placeholder"/>
        </w:category>
        <w:types>
          <w:type w:val="bbPlcHdr"/>
        </w:types>
        <w:behaviors>
          <w:behavior w:val="content"/>
        </w:behaviors>
        <w:description w:val=""/>
        <w:guid w:val="{ae4bf55f-ffc3-4b61-9828-f996be5a911f}"/>
      </w:docPartPr>
      <w:docPartBody>
        <w:p>
          <w:r>
            <w:rPr>
              <w:color w:val="808080"/>
            </w:rPr>
            <w:t>单击此处输入文字。</w:t>
          </w:r>
        </w:p>
      </w:docPartBody>
    </w:docPart>
    <w:docPart>
      <w:docPartPr>
        <w:name w:val="{7726da65-f607-420e-a019-f919e314fe07}"/>
        <w:style w:val=""/>
        <w:category>
          <w:name w:val="常规"/>
          <w:gallery w:val="placeholder"/>
        </w:category>
        <w:types>
          <w:type w:val="bbPlcHdr"/>
        </w:types>
        <w:behaviors>
          <w:behavior w:val="content"/>
        </w:behaviors>
        <w:description w:val=""/>
        <w:guid w:val="{7726da65-f607-420e-a019-f919e314fe07}"/>
      </w:docPartPr>
      <w:docPartBody>
        <w:p>
          <w:r>
            <w:rPr>
              <w:color w:val="808080"/>
            </w:rPr>
            <w:t>单击此处输入文字。</w:t>
          </w:r>
        </w:p>
      </w:docPartBody>
    </w:docPart>
    <w:docPart>
      <w:docPartPr>
        <w:name w:val="{cb33afeb-b2af-42c5-b4b4-18de81309b1f}"/>
        <w:style w:val=""/>
        <w:category>
          <w:name w:val="常规"/>
          <w:gallery w:val="placeholder"/>
        </w:category>
        <w:types>
          <w:type w:val="bbPlcHdr"/>
        </w:types>
        <w:behaviors>
          <w:behavior w:val="content"/>
        </w:behaviors>
        <w:description w:val=""/>
        <w:guid w:val="{cb33afeb-b2af-42c5-b4b4-18de81309b1f}"/>
      </w:docPartPr>
      <w:docPartBody>
        <w:p>
          <w:r>
            <w:rPr>
              <w:color w:val="808080"/>
            </w:rPr>
            <w:t>单击此处输入文字。</w:t>
          </w:r>
        </w:p>
      </w:docPartBody>
    </w:docPart>
    <w:docPart>
      <w:docPartPr>
        <w:name w:val="{a6e396cf-d5ab-47f3-ab2b-45cf5c7898ea}"/>
        <w:style w:val=""/>
        <w:category>
          <w:name w:val="常规"/>
          <w:gallery w:val="placeholder"/>
        </w:category>
        <w:types>
          <w:type w:val="bbPlcHdr"/>
        </w:types>
        <w:behaviors>
          <w:behavior w:val="content"/>
        </w:behaviors>
        <w:description w:val=""/>
        <w:guid w:val="{a6e396cf-d5ab-47f3-ab2b-45cf5c7898ea}"/>
      </w:docPartPr>
      <w:docPartBody>
        <w:p>
          <w:r>
            <w:rPr>
              <w:color w:val="808080"/>
            </w:rPr>
            <w:t>单击此处输入文字。</w:t>
          </w:r>
        </w:p>
      </w:docPartBody>
    </w:docPart>
    <w:docPart>
      <w:docPartPr>
        <w:name w:val="{7b1dfe15-caac-48c3-b8b5-672b1b0c4df1}"/>
        <w:style w:val=""/>
        <w:category>
          <w:name w:val="常规"/>
          <w:gallery w:val="placeholder"/>
        </w:category>
        <w:types>
          <w:type w:val="bbPlcHdr"/>
        </w:types>
        <w:behaviors>
          <w:behavior w:val="content"/>
        </w:behaviors>
        <w:description w:val=""/>
        <w:guid w:val="{7b1dfe15-caac-48c3-b8b5-672b1b0c4df1}"/>
      </w:docPartPr>
      <w:docPartBody>
        <w:p>
          <w:r>
            <w:rPr>
              <w:color w:val="808080"/>
            </w:rPr>
            <w:t>单击此处输入文字。</w:t>
          </w:r>
        </w:p>
      </w:docPartBody>
    </w:docPart>
    <w:docPart>
      <w:docPartPr>
        <w:name w:val="{025c3a9c-f813-4740-b843-35dd6224f5c0}"/>
        <w:style w:val=""/>
        <w:category>
          <w:name w:val="常规"/>
          <w:gallery w:val="placeholder"/>
        </w:category>
        <w:types>
          <w:type w:val="bbPlcHdr"/>
        </w:types>
        <w:behaviors>
          <w:behavior w:val="content"/>
        </w:behaviors>
        <w:description w:val=""/>
        <w:guid w:val="{025c3a9c-f813-4740-b843-35dd6224f5c0}"/>
      </w:docPartPr>
      <w:docPartBody>
        <w:p>
          <w:r>
            <w:rPr>
              <w:color w:val="808080"/>
            </w:rPr>
            <w:t>单击此处输入文字。</w:t>
          </w:r>
        </w:p>
      </w:docPartBody>
    </w:docPart>
    <w:docPart>
      <w:docPartPr>
        <w:name w:val="{4b0ef011-07a8-4688-9ab6-9c36146c93fe}"/>
        <w:style w:val=""/>
        <w:category>
          <w:name w:val="常规"/>
          <w:gallery w:val="placeholder"/>
        </w:category>
        <w:types>
          <w:type w:val="bbPlcHdr"/>
        </w:types>
        <w:behaviors>
          <w:behavior w:val="content"/>
        </w:behaviors>
        <w:description w:val=""/>
        <w:guid w:val="{4b0ef011-07a8-4688-9ab6-9c36146c93fe}"/>
      </w:docPartPr>
      <w:docPartBody>
        <w:p>
          <w:r>
            <w:rPr>
              <w:color w:val="808080"/>
            </w:rPr>
            <w:t>单击此处输入文字。</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compat>
    <w:useFELayout/>
    <w:splitPgBreakAndParaMark/>
    <w:compatSetting w:name="compatibilityMode" w:uri="http://schemas.microsoft.com/office/word" w:val="14"/>
  </w:compat>
  <w:rsids>
    <w:rsidRoot w:val="0000000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40</Pages>
  <Words>25669</Words>
  <Characters>28405</Characters>
  <Lines>0</Lines>
  <Paragraphs>0</Paragraphs>
  <TotalTime>2</TotalTime>
  <ScaleCrop>false</ScaleCrop>
  <LinksUpToDate>false</LinksUpToDate>
  <CharactersWithSpaces>29186</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2021-02-19T06:33:00Z</dcterms:created>
  <dc:creator>伍畇有</dc:creator>
  <cp:lastModifiedBy>王欣宇</cp:lastModifiedBy>
  <cp:lastPrinted>2023-04-21T01:34:00Z</cp:lastPrinted>
  <dcterms:modified xsi:type="dcterms:W3CDTF">2024-04-29T05:53:11Z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2DCEA5100F21416CB3F5BF4E79C43CB3</vt:lpwstr>
  </property>
</Properties>
</file>