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b/>
          <w:color w:val="auto"/>
          <w:sz w:val="32"/>
          <w:szCs w:val="32"/>
          <w:highlight w:val="none"/>
        </w:rPr>
      </w:pPr>
      <w:r>
        <w:rPr>
          <w:rFonts w:hint="eastAsia" w:ascii="仿宋" w:hAnsi="仿宋" w:eastAsia="仿宋"/>
          <w:b/>
          <w:color w:val="auto"/>
          <w:sz w:val="36"/>
          <w:szCs w:val="36"/>
          <w:highlight w:val="none"/>
        </w:rPr>
        <w:t>四川泸州川南发电有限责任公司2×600MW机组</w:t>
      </w:r>
    </w:p>
    <w:p>
      <w:pPr>
        <w:spacing w:line="360" w:lineRule="auto"/>
        <w:jc w:val="center"/>
        <w:rPr>
          <w:rFonts w:hint="eastAsia" w:ascii="仿宋" w:hAnsi="仿宋" w:eastAsia="仿宋"/>
          <w:b/>
          <w:color w:val="auto"/>
          <w:sz w:val="32"/>
          <w:szCs w:val="32"/>
          <w:highlight w:val="none"/>
        </w:rPr>
      </w:pPr>
    </w:p>
    <w:p>
      <w:pPr>
        <w:spacing w:line="360" w:lineRule="auto"/>
        <w:jc w:val="center"/>
        <w:rPr>
          <w:rFonts w:hint="eastAsia" w:ascii="仿宋" w:hAnsi="仿宋" w:eastAsia="仿宋"/>
          <w:b/>
          <w:color w:val="auto"/>
          <w:sz w:val="32"/>
          <w:szCs w:val="32"/>
          <w:highlight w:val="none"/>
        </w:rPr>
      </w:pPr>
    </w:p>
    <w:p>
      <w:pPr>
        <w:spacing w:line="360" w:lineRule="auto"/>
        <w:jc w:val="center"/>
        <w:rPr>
          <w:rFonts w:hint="eastAsia" w:ascii="仿宋" w:hAnsi="仿宋" w:eastAsia="仿宋"/>
          <w:b/>
          <w:color w:val="auto"/>
          <w:sz w:val="32"/>
          <w:szCs w:val="32"/>
          <w:highlight w:val="none"/>
        </w:rPr>
      </w:pPr>
    </w:p>
    <w:p>
      <w:pPr>
        <w:spacing w:line="360" w:lineRule="auto"/>
        <w:jc w:val="center"/>
        <w:rPr>
          <w:rFonts w:hint="eastAsia" w:ascii="仿宋" w:hAnsi="仿宋" w:eastAsia="仿宋"/>
          <w:b/>
          <w:color w:val="auto"/>
          <w:sz w:val="32"/>
          <w:szCs w:val="32"/>
          <w:highlight w:val="none"/>
        </w:rPr>
      </w:pPr>
    </w:p>
    <w:p>
      <w:pPr>
        <w:spacing w:line="360" w:lineRule="auto"/>
        <w:jc w:val="center"/>
        <w:rPr>
          <w:rFonts w:hint="eastAsia" w:ascii="仿宋" w:hAnsi="仿宋" w:eastAsia="仿宋"/>
          <w:b/>
          <w:color w:val="auto"/>
          <w:sz w:val="32"/>
          <w:szCs w:val="32"/>
          <w:highlight w:val="none"/>
        </w:rPr>
      </w:pPr>
    </w:p>
    <w:p>
      <w:pPr>
        <w:spacing w:line="360" w:lineRule="auto"/>
        <w:jc w:val="center"/>
        <w:rPr>
          <w:rFonts w:hint="eastAsia" w:ascii="仿宋" w:hAnsi="仿宋" w:eastAsia="仿宋"/>
          <w:b/>
          <w:color w:val="auto"/>
          <w:sz w:val="44"/>
          <w:szCs w:val="44"/>
          <w:highlight w:val="none"/>
          <w:lang w:val="en-US" w:eastAsia="zh-CN"/>
        </w:rPr>
      </w:pPr>
      <w:r>
        <w:rPr>
          <w:rFonts w:hint="eastAsia" w:ascii="仿宋" w:hAnsi="仿宋" w:eastAsia="仿宋"/>
          <w:b/>
          <w:color w:val="auto"/>
          <w:sz w:val="44"/>
          <w:szCs w:val="44"/>
          <w:highlight w:val="none"/>
          <w:lang w:val="en-US" w:eastAsia="zh-CN"/>
        </w:rPr>
        <w:t>其它一般工业固废（工业垃圾）</w:t>
      </w:r>
    </w:p>
    <w:p>
      <w:pPr>
        <w:spacing w:line="360" w:lineRule="auto"/>
        <w:jc w:val="center"/>
        <w:rPr>
          <w:rFonts w:hint="eastAsia" w:ascii="仿宋" w:hAnsi="仿宋" w:eastAsia="仿宋"/>
          <w:b/>
          <w:color w:val="auto"/>
          <w:sz w:val="44"/>
          <w:szCs w:val="44"/>
          <w:highlight w:val="none"/>
          <w:lang w:val="en-US" w:eastAsia="zh-CN"/>
        </w:rPr>
      </w:pPr>
    </w:p>
    <w:p>
      <w:pPr>
        <w:spacing w:line="360" w:lineRule="auto"/>
        <w:jc w:val="center"/>
        <w:rPr>
          <w:rFonts w:hint="eastAsia" w:ascii="仿宋" w:hAnsi="仿宋" w:eastAsia="仿宋"/>
          <w:b/>
          <w:color w:val="auto"/>
          <w:sz w:val="44"/>
          <w:szCs w:val="44"/>
          <w:highlight w:val="none"/>
        </w:rPr>
      </w:pPr>
      <w:r>
        <w:rPr>
          <w:rFonts w:hint="eastAsia" w:ascii="仿宋" w:hAnsi="仿宋" w:eastAsia="仿宋"/>
          <w:b/>
          <w:color w:val="auto"/>
          <w:sz w:val="44"/>
          <w:szCs w:val="44"/>
          <w:highlight w:val="none"/>
          <w:lang w:val="en-US" w:eastAsia="zh-CN"/>
        </w:rPr>
        <w:t>处置与利用</w:t>
      </w:r>
      <w:r>
        <w:rPr>
          <w:rFonts w:hint="eastAsia" w:ascii="仿宋" w:hAnsi="仿宋" w:eastAsia="仿宋"/>
          <w:b/>
          <w:color w:val="auto"/>
          <w:sz w:val="44"/>
          <w:szCs w:val="44"/>
          <w:highlight w:val="none"/>
        </w:rPr>
        <w:t>技术</w:t>
      </w:r>
      <w:r>
        <w:rPr>
          <w:rFonts w:hint="eastAsia" w:ascii="仿宋" w:hAnsi="仿宋" w:eastAsia="仿宋"/>
          <w:b/>
          <w:color w:val="auto"/>
          <w:sz w:val="44"/>
          <w:szCs w:val="44"/>
          <w:highlight w:val="none"/>
          <w:lang w:val="en-US" w:eastAsia="zh-CN"/>
        </w:rPr>
        <w:t>规范书</w:t>
      </w:r>
    </w:p>
    <w:p>
      <w:pPr>
        <w:spacing w:line="360" w:lineRule="auto"/>
        <w:jc w:val="center"/>
        <w:rPr>
          <w:rFonts w:hint="eastAsia" w:ascii="仿宋" w:hAnsi="仿宋" w:eastAsia="仿宋"/>
          <w:b/>
          <w:color w:val="auto"/>
          <w:sz w:val="44"/>
          <w:szCs w:val="44"/>
          <w:highlight w:val="none"/>
        </w:rPr>
      </w:pPr>
    </w:p>
    <w:p>
      <w:pPr>
        <w:spacing w:line="360" w:lineRule="auto"/>
        <w:jc w:val="center"/>
        <w:rPr>
          <w:rFonts w:hint="eastAsia" w:ascii="仿宋" w:hAnsi="仿宋" w:eastAsia="仿宋"/>
          <w:b/>
          <w:color w:val="auto"/>
          <w:sz w:val="44"/>
          <w:szCs w:val="44"/>
          <w:highlight w:val="none"/>
        </w:rPr>
      </w:pPr>
    </w:p>
    <w:p>
      <w:pPr>
        <w:spacing w:line="360" w:lineRule="auto"/>
        <w:jc w:val="center"/>
        <w:rPr>
          <w:rFonts w:hint="eastAsia" w:ascii="仿宋" w:hAnsi="仿宋" w:eastAsia="仿宋"/>
          <w:color w:val="auto"/>
          <w:sz w:val="24"/>
          <w:highlight w:val="none"/>
        </w:rPr>
      </w:pPr>
    </w:p>
    <w:p>
      <w:pPr>
        <w:spacing w:line="360" w:lineRule="auto"/>
        <w:jc w:val="center"/>
        <w:rPr>
          <w:rFonts w:hint="eastAsia" w:ascii="仿宋" w:hAnsi="仿宋" w:eastAsia="仿宋"/>
          <w:b/>
          <w:bCs/>
          <w:color w:val="auto"/>
          <w:sz w:val="24"/>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p>
    <w:p>
      <w:pPr>
        <w:spacing w:line="360" w:lineRule="auto"/>
        <w:jc w:val="center"/>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四川泸州川南发电有限责任公司</w:t>
      </w:r>
    </w:p>
    <w:p>
      <w:pPr>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w:t>
      </w:r>
      <w:r>
        <w:rPr>
          <w:rFonts w:hint="eastAsia" w:ascii="仿宋" w:hAnsi="仿宋" w:eastAsia="仿宋" w:cs="宋体"/>
          <w:color w:val="auto"/>
          <w:sz w:val="28"/>
          <w:szCs w:val="28"/>
          <w:highlight w:val="none"/>
        </w:rPr>
        <w:t>〇</w:t>
      </w:r>
      <w:r>
        <w:rPr>
          <w:rFonts w:hint="eastAsia" w:ascii="仿宋" w:hAnsi="仿宋" w:eastAsia="仿宋" w:cs="仿宋_GB2312"/>
          <w:color w:val="auto"/>
          <w:sz w:val="28"/>
          <w:szCs w:val="28"/>
          <w:highlight w:val="none"/>
        </w:rPr>
        <w:t>二</w:t>
      </w:r>
      <w:r>
        <w:rPr>
          <w:rFonts w:hint="eastAsia" w:ascii="仿宋" w:hAnsi="仿宋" w:eastAsia="仿宋" w:cs="仿宋_GB2312"/>
          <w:color w:val="auto"/>
          <w:sz w:val="28"/>
          <w:szCs w:val="28"/>
          <w:highlight w:val="none"/>
          <w:lang w:eastAsia="zh-CN"/>
        </w:rPr>
        <w:t>四</w:t>
      </w:r>
      <w:r>
        <w:rPr>
          <w:rFonts w:hint="eastAsia" w:ascii="仿宋" w:hAnsi="仿宋" w:eastAsia="仿宋" w:cs="仿宋_GB2312"/>
          <w:color w:val="auto"/>
          <w:sz w:val="28"/>
          <w:szCs w:val="28"/>
          <w:highlight w:val="none"/>
        </w:rPr>
        <w:t>年</w:t>
      </w:r>
      <w:r>
        <w:rPr>
          <w:rFonts w:hint="eastAsia" w:ascii="仿宋" w:hAnsi="仿宋" w:eastAsia="仿宋" w:cs="仿宋_GB2312"/>
          <w:color w:val="auto"/>
          <w:sz w:val="28"/>
          <w:szCs w:val="28"/>
          <w:highlight w:val="none"/>
          <w:lang w:eastAsia="zh-CN"/>
        </w:rPr>
        <w:t>十二</w:t>
      </w:r>
      <w:r>
        <w:rPr>
          <w:rFonts w:hint="eastAsia" w:ascii="仿宋" w:hAnsi="仿宋" w:eastAsia="仿宋"/>
          <w:color w:val="auto"/>
          <w:sz w:val="28"/>
          <w:szCs w:val="28"/>
          <w:highlight w:val="none"/>
        </w:rPr>
        <w:t>月  四川 泸州</w:t>
      </w:r>
    </w:p>
    <w:p>
      <w:pPr>
        <w:jc w:val="center"/>
        <w:rPr>
          <w:rFonts w:hint="eastAsia" w:ascii="仿宋" w:hAnsi="仿宋" w:eastAsia="仿宋"/>
          <w:b/>
          <w:bCs/>
          <w:color w:val="auto"/>
          <w:sz w:val="28"/>
          <w:szCs w:val="28"/>
          <w:highlight w:val="none"/>
        </w:rPr>
      </w:pPr>
    </w:p>
    <w:sdt>
      <w:sdtPr>
        <w:rPr>
          <w:rFonts w:ascii="宋体" w:hAnsi="宋体" w:eastAsia="宋体" w:cstheme="minorBidi"/>
          <w:kern w:val="2"/>
          <w:sz w:val="21"/>
          <w:szCs w:val="24"/>
          <w:lang w:val="en-US" w:eastAsia="zh-CN" w:bidi="ar-SA"/>
        </w:rPr>
        <w:id w:val="147468413"/>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0" w:name="_Toc13528_WPSOffice_Type1"/>
          <w:r>
            <w:rPr>
              <w:rFonts w:ascii="宋体" w:hAnsi="宋体" w:eastAsia="宋体"/>
              <w:sz w:val="21"/>
            </w:rPr>
            <w:t>目录</w:t>
          </w:r>
        </w:p>
        <w:p>
          <w:pPr>
            <w:pStyle w:val="9"/>
            <w:tabs>
              <w:tab w:val="right" w:leader="dot" w:pos="8306"/>
            </w:tabs>
          </w:pPr>
          <w:r>
            <w:fldChar w:fldCharType="begin"/>
          </w:r>
          <w:r>
            <w:instrText xml:space="preserve"> HYPERLINK \l _Toc14526_WPSOffice_Level1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f88f4e0a-429c-490f-94cc-c39ee07409cc}"/>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rPr>
                <w:t>一、 总则</w:t>
              </w:r>
            </w:sdtContent>
          </w:sdt>
          <w:r>
            <w:tab/>
          </w:r>
          <w:bookmarkStart w:id="1" w:name="_Toc14526_WPSOffice_Level1Page"/>
          <w:r>
            <w:t>1</w:t>
          </w:r>
          <w:bookmarkEnd w:id="1"/>
          <w:r>
            <w:fldChar w:fldCharType="end"/>
          </w:r>
        </w:p>
        <w:p>
          <w:pPr>
            <w:pStyle w:val="9"/>
            <w:tabs>
              <w:tab w:val="right" w:leader="dot" w:pos="8306"/>
            </w:tabs>
          </w:pPr>
          <w:r>
            <w:fldChar w:fldCharType="begin"/>
          </w:r>
          <w:r>
            <w:instrText xml:space="preserve"> HYPERLINK \l _Toc13528_WPSOffice_Level1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4df862c0-8db4-4730-b917-04310984e260}"/>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rPr>
                <w:t>二、 公司概况、其它一般工业固废（工业垃圾）概述</w:t>
              </w:r>
            </w:sdtContent>
          </w:sdt>
          <w:r>
            <w:tab/>
          </w:r>
          <w:bookmarkStart w:id="2" w:name="_Toc13528_WPSOffice_Level1Page"/>
          <w:r>
            <w:t>1</w:t>
          </w:r>
          <w:bookmarkEnd w:id="2"/>
          <w:r>
            <w:fldChar w:fldCharType="end"/>
          </w:r>
        </w:p>
        <w:p>
          <w:pPr>
            <w:pStyle w:val="9"/>
            <w:tabs>
              <w:tab w:val="right" w:leader="dot" w:pos="8306"/>
            </w:tabs>
          </w:pPr>
          <w:r>
            <w:fldChar w:fldCharType="begin"/>
          </w:r>
          <w:r>
            <w:instrText xml:space="preserve"> HYPERLINK \l _Toc32276_WPSOffice_Level1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4ef79d4e-6d02-4b06-88ca-b42e5dcf08e3}"/>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rPr>
                <w:t xml:space="preserve">三、 </w:t>
              </w:r>
              <w:r>
                <w:rPr>
                  <w:rFonts w:hint="eastAsia" w:asciiTheme="minorHAnsi" w:hAnsiTheme="minorHAnsi" w:eastAsiaTheme="minorEastAsia" w:cstheme="minorBidi"/>
                  <w:lang w:eastAsia="zh-CN"/>
                </w:rPr>
                <w:t>比选申请人</w:t>
              </w:r>
              <w:r>
                <w:rPr>
                  <w:rFonts w:hint="eastAsia" w:asciiTheme="minorHAnsi" w:hAnsiTheme="minorHAnsi" w:eastAsiaTheme="minorEastAsia" w:cstheme="minorBidi"/>
                </w:rPr>
                <w:t>遵守的法律、规范要求</w:t>
              </w:r>
            </w:sdtContent>
          </w:sdt>
          <w:r>
            <w:tab/>
          </w:r>
          <w:bookmarkStart w:id="3" w:name="_Toc32276_WPSOffice_Level1Page"/>
          <w:r>
            <w:t>2</w:t>
          </w:r>
          <w:bookmarkEnd w:id="3"/>
          <w:r>
            <w:fldChar w:fldCharType="end"/>
          </w:r>
        </w:p>
        <w:p>
          <w:pPr>
            <w:pStyle w:val="9"/>
            <w:numPr>
              <w:ilvl w:val="0"/>
              <w:numId w:val="1"/>
            </w:numPr>
            <w:tabs>
              <w:tab w:val="right" w:leader="dot" w:pos="8306"/>
            </w:tabs>
            <w:rPr>
              <w:rFonts w:hint="eastAsia" w:eastAsia="宋体"/>
              <w:lang w:eastAsia="zh-CN"/>
            </w:rPr>
          </w:pPr>
          <w:r>
            <w:rPr>
              <w:rFonts w:hint="eastAsia"/>
              <w:lang w:eastAsia="zh-CN"/>
            </w:rPr>
            <w:t>项目执行期限</w:t>
          </w:r>
          <w:r>
            <w:rPr>
              <w:rFonts w:hint="eastAsia"/>
              <w:lang w:val="en-US" w:eastAsia="zh-CN"/>
            </w:rPr>
            <w:t>..................................................................................................................................2</w:t>
          </w:r>
        </w:p>
        <w:p>
          <w:pPr>
            <w:pStyle w:val="9"/>
            <w:tabs>
              <w:tab w:val="right" w:leader="dot" w:pos="8306"/>
            </w:tabs>
          </w:pPr>
          <w:r>
            <w:fldChar w:fldCharType="begin"/>
          </w:r>
          <w:r>
            <w:instrText xml:space="preserve"> HYPERLINK \l _Toc24080_WPSOffice_Level1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39d85ae9-6e6f-48e5-9066-bbc43176f8f6}"/>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kern w:val="2"/>
                  <w:sz w:val="21"/>
                  <w:szCs w:val="24"/>
                  <w:lang w:val="en-US" w:eastAsia="zh-CN" w:bidi="ar-SA"/>
                </w:rPr>
                <w:t>五</w:t>
              </w:r>
              <w:r>
                <w:rPr>
                  <w:rFonts w:hint="eastAsia" w:asciiTheme="minorHAnsi" w:hAnsiTheme="minorHAnsi" w:eastAsiaTheme="minorEastAsia" w:cstheme="minorBidi"/>
                </w:rPr>
                <w:t xml:space="preserve">、 </w:t>
              </w:r>
              <w:r>
                <w:rPr>
                  <w:rFonts w:hint="eastAsia" w:asciiTheme="minorHAnsi" w:hAnsiTheme="minorHAnsi" w:eastAsiaTheme="minorEastAsia" w:cstheme="minorBidi"/>
                  <w:lang w:eastAsia="zh-CN"/>
                </w:rPr>
                <w:t>比选申请人</w:t>
              </w:r>
              <w:r>
                <w:rPr>
                  <w:rFonts w:hint="eastAsia" w:asciiTheme="minorHAnsi" w:hAnsiTheme="minorHAnsi" w:eastAsiaTheme="minorEastAsia" w:cstheme="minorBidi"/>
                </w:rPr>
                <w:t>装载要求</w:t>
              </w:r>
            </w:sdtContent>
          </w:sdt>
          <w:r>
            <w:tab/>
          </w:r>
          <w:bookmarkStart w:id="4" w:name="_Toc24080_WPSOffice_Level1Page"/>
          <w:r>
            <w:t>2</w:t>
          </w:r>
          <w:bookmarkEnd w:id="4"/>
          <w:r>
            <w:fldChar w:fldCharType="end"/>
          </w:r>
        </w:p>
        <w:p>
          <w:pPr>
            <w:pStyle w:val="9"/>
            <w:tabs>
              <w:tab w:val="right" w:leader="dot" w:pos="8306"/>
            </w:tabs>
          </w:pPr>
          <w:r>
            <w:fldChar w:fldCharType="begin"/>
          </w:r>
          <w:r>
            <w:instrText xml:space="preserve"> HYPERLINK \l _Toc28611_WPSOffice_Level1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1300f9db-72e8-43ba-8ef4-f355ac86f526}"/>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kern w:val="2"/>
                  <w:sz w:val="21"/>
                  <w:szCs w:val="24"/>
                  <w:lang w:val="en-US" w:eastAsia="zh-CN" w:bidi="ar-SA"/>
                </w:rPr>
                <w:t>六</w:t>
              </w:r>
              <w:r>
                <w:rPr>
                  <w:rFonts w:hint="eastAsia" w:asciiTheme="minorHAnsi" w:hAnsiTheme="minorHAnsi" w:eastAsiaTheme="minorEastAsia" w:cstheme="minorBidi"/>
                </w:rPr>
                <w:t xml:space="preserve">、 </w:t>
              </w:r>
              <w:r>
                <w:rPr>
                  <w:rFonts w:hint="eastAsia" w:asciiTheme="minorHAnsi" w:hAnsiTheme="minorHAnsi" w:eastAsiaTheme="minorEastAsia" w:cstheme="minorBidi"/>
                  <w:lang w:eastAsia="zh-CN"/>
                </w:rPr>
                <w:t>比选申请人</w:t>
              </w:r>
              <w:r>
                <w:rPr>
                  <w:rFonts w:hint="eastAsia" w:asciiTheme="minorHAnsi" w:hAnsiTheme="minorHAnsi" w:eastAsiaTheme="minorEastAsia" w:cstheme="minorBidi"/>
                </w:rPr>
                <w:t>运输要求</w:t>
              </w:r>
            </w:sdtContent>
          </w:sdt>
          <w:r>
            <w:tab/>
          </w:r>
          <w:bookmarkStart w:id="5" w:name="_Toc28611_WPSOffice_Level1Page"/>
          <w:r>
            <w:t>2</w:t>
          </w:r>
          <w:bookmarkEnd w:id="5"/>
          <w:r>
            <w:fldChar w:fldCharType="end"/>
          </w:r>
        </w:p>
        <w:p>
          <w:pPr>
            <w:pStyle w:val="9"/>
            <w:tabs>
              <w:tab w:val="right" w:leader="dot" w:pos="8306"/>
            </w:tabs>
          </w:pPr>
          <w:r>
            <w:fldChar w:fldCharType="begin"/>
          </w:r>
          <w:r>
            <w:instrText xml:space="preserve"> HYPERLINK \l _Toc4285_WPSOffice_Level1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fe3be2c9-ab35-4e8a-b95e-4e58aff8ddd2}"/>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kern w:val="2"/>
                  <w:sz w:val="21"/>
                  <w:szCs w:val="24"/>
                  <w:lang w:val="en-US" w:eastAsia="zh-CN" w:bidi="ar-SA"/>
                </w:rPr>
                <w:t>七</w:t>
              </w:r>
              <w:r>
                <w:rPr>
                  <w:rFonts w:hint="eastAsia" w:asciiTheme="minorHAnsi" w:hAnsiTheme="minorHAnsi" w:eastAsiaTheme="minorEastAsia" w:cstheme="minorBidi"/>
                </w:rPr>
                <w:t xml:space="preserve">、 </w:t>
              </w:r>
              <w:r>
                <w:rPr>
                  <w:rFonts w:hint="eastAsia" w:asciiTheme="minorHAnsi" w:hAnsiTheme="minorHAnsi" w:eastAsiaTheme="minorEastAsia" w:cstheme="minorBidi"/>
                  <w:lang w:eastAsia="zh-CN"/>
                </w:rPr>
                <w:t>比选申请人</w:t>
              </w:r>
              <w:r>
                <w:rPr>
                  <w:rFonts w:hint="eastAsia" w:asciiTheme="minorHAnsi" w:hAnsiTheme="minorHAnsi" w:eastAsiaTheme="minorEastAsia" w:cstheme="minorBidi"/>
                </w:rPr>
                <w:t>贮存场、填埋场要求</w:t>
              </w:r>
            </w:sdtContent>
          </w:sdt>
          <w:r>
            <w:tab/>
          </w:r>
          <w:bookmarkStart w:id="6" w:name="_Toc4285_WPSOffice_Level1Page"/>
          <w:r>
            <w:t>3</w:t>
          </w:r>
          <w:bookmarkEnd w:id="6"/>
          <w:r>
            <w:fldChar w:fldCharType="end"/>
          </w:r>
        </w:p>
        <w:p>
          <w:pPr>
            <w:pStyle w:val="9"/>
            <w:tabs>
              <w:tab w:val="right" w:leader="dot" w:pos="8306"/>
            </w:tabs>
          </w:pPr>
          <w:r>
            <w:fldChar w:fldCharType="begin"/>
          </w:r>
          <w:r>
            <w:instrText xml:space="preserve"> HYPERLINK \l _Toc18979_WPSOffice_Level1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02cd5202-03fd-4c10-b4bd-80045ede9fe5}"/>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kern w:val="2"/>
                  <w:sz w:val="21"/>
                  <w:szCs w:val="24"/>
                  <w:lang w:val="en-US" w:eastAsia="zh-CN" w:bidi="ar-SA"/>
                </w:rPr>
                <w:t>八</w:t>
              </w:r>
              <w:r>
                <w:rPr>
                  <w:rFonts w:hint="eastAsia" w:asciiTheme="minorHAnsi" w:hAnsiTheme="minorHAnsi" w:eastAsiaTheme="minorEastAsia" w:cstheme="minorBidi"/>
                </w:rPr>
                <w:t xml:space="preserve">、 </w:t>
              </w:r>
              <w:r>
                <w:rPr>
                  <w:rFonts w:hint="eastAsia" w:asciiTheme="minorHAnsi" w:hAnsiTheme="minorHAnsi" w:eastAsiaTheme="minorEastAsia" w:cstheme="minorBidi"/>
                  <w:lang w:eastAsia="zh-CN"/>
                </w:rPr>
                <w:t>比选申请人</w:t>
              </w:r>
              <w:r>
                <w:rPr>
                  <w:rFonts w:hint="eastAsia" w:asciiTheme="minorHAnsi" w:hAnsiTheme="minorHAnsi" w:eastAsiaTheme="minorEastAsia" w:cstheme="minorBidi"/>
                </w:rPr>
                <w:t>处置、利用要求</w:t>
              </w:r>
            </w:sdtContent>
          </w:sdt>
          <w:r>
            <w:tab/>
          </w:r>
          <w:bookmarkStart w:id="7" w:name="_Toc18979_WPSOffice_Level1Page"/>
          <w:r>
            <w:t>3</w:t>
          </w:r>
          <w:bookmarkEnd w:id="7"/>
          <w:r>
            <w:fldChar w:fldCharType="end"/>
          </w:r>
        </w:p>
        <w:p>
          <w:pPr>
            <w:pStyle w:val="9"/>
            <w:tabs>
              <w:tab w:val="right" w:leader="dot" w:pos="8306"/>
            </w:tabs>
          </w:pPr>
          <w:r>
            <w:fldChar w:fldCharType="begin"/>
          </w:r>
          <w:r>
            <w:instrText xml:space="preserve"> HYPERLINK \l _Toc15776_WPSOffice_Level1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8bab5526-cef0-4840-a39e-49c6cced3b99}"/>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kern w:val="2"/>
                  <w:sz w:val="21"/>
                  <w:szCs w:val="24"/>
                  <w:lang w:val="en-US" w:eastAsia="zh-CN" w:bidi="ar-SA"/>
                </w:rPr>
                <w:t>九</w:t>
              </w:r>
              <w:r>
                <w:rPr>
                  <w:rFonts w:hint="eastAsia" w:asciiTheme="minorHAnsi" w:hAnsiTheme="minorHAnsi" w:eastAsiaTheme="minorEastAsia" w:cstheme="minorBidi"/>
                </w:rPr>
                <w:t>、 责任风险转接</w:t>
              </w:r>
            </w:sdtContent>
          </w:sdt>
          <w:r>
            <w:tab/>
          </w:r>
          <w:bookmarkStart w:id="8" w:name="_Toc15776_WPSOffice_Level1Page"/>
          <w:r>
            <w:t>3</w:t>
          </w:r>
          <w:bookmarkEnd w:id="8"/>
          <w:r>
            <w:fldChar w:fldCharType="end"/>
          </w:r>
        </w:p>
        <w:p>
          <w:pPr>
            <w:pStyle w:val="9"/>
            <w:tabs>
              <w:tab w:val="right" w:leader="dot" w:pos="8306"/>
            </w:tabs>
          </w:pPr>
          <w:r>
            <w:fldChar w:fldCharType="begin"/>
          </w:r>
          <w:r>
            <w:instrText xml:space="preserve"> HYPERLINK \l _Toc26122_WPSOffice_Level1 </w:instrText>
          </w:r>
          <w:r>
            <w:fldChar w:fldCharType="separate"/>
          </w:r>
          <w:sdt>
            <w:sdtPr>
              <w:rPr>
                <w:rFonts w:asciiTheme="minorHAnsi" w:hAnsiTheme="minorHAnsi" w:eastAsiaTheme="minorEastAsia" w:cstheme="minorBidi"/>
                <w:kern w:val="2"/>
                <w:sz w:val="21"/>
                <w:szCs w:val="24"/>
                <w:lang w:val="en-US" w:eastAsia="zh-CN" w:bidi="ar-SA"/>
              </w:rPr>
              <w:id w:val="147468413"/>
              <w:placeholder>
                <w:docPart w:val="{9c395c3c-d1c0-425a-a6b2-0b8f544a6da0}"/>
              </w:placeholder>
            </w:sdtPr>
            <w:sdtEndPr>
              <w:rPr>
                <w:rFonts w:asciiTheme="minorHAnsi" w:hAnsiTheme="minorHAnsi" w:eastAsiaTheme="minorEastAsia" w:cstheme="minorBidi"/>
                <w:kern w:val="2"/>
                <w:sz w:val="21"/>
                <w:szCs w:val="24"/>
                <w:lang w:val="en-US" w:eastAsia="zh-CN" w:bidi="ar-SA"/>
              </w:rPr>
            </w:sdtEndPr>
            <w:sdtContent>
              <w:r>
                <w:rPr>
                  <w:rFonts w:hint="eastAsia" w:asciiTheme="minorHAnsi" w:hAnsiTheme="minorHAnsi" w:eastAsiaTheme="minorEastAsia" w:cstheme="minorBidi"/>
                  <w:kern w:val="2"/>
                  <w:sz w:val="21"/>
                  <w:szCs w:val="24"/>
                  <w:lang w:val="en-US" w:eastAsia="zh-CN" w:bidi="ar-SA"/>
                </w:rPr>
                <w:t>十</w:t>
              </w:r>
              <w:r>
                <w:rPr>
                  <w:rFonts w:hint="eastAsia" w:asciiTheme="minorHAnsi" w:hAnsiTheme="minorHAnsi" w:eastAsiaTheme="minorEastAsia" w:cstheme="minorBidi"/>
                </w:rPr>
                <w:t>、 考核条款</w:t>
              </w:r>
            </w:sdtContent>
          </w:sdt>
          <w:r>
            <w:tab/>
          </w:r>
          <w:r>
            <w:rPr>
              <w:rFonts w:hint="eastAsia"/>
              <w:lang w:val="en-US" w:eastAsia="zh-CN"/>
            </w:rPr>
            <w:t>4</w:t>
          </w:r>
          <w:r>
            <w:fldChar w:fldCharType="end"/>
          </w:r>
          <w:bookmarkEnd w:id="0"/>
        </w:p>
      </w:sdtContent>
    </w:sdt>
    <w:p>
      <w:pPr>
        <w:jc w:val="center"/>
        <w:rPr>
          <w:rFonts w:hint="eastAsia"/>
          <w:color w:val="auto"/>
          <w:sz w:val="28"/>
          <w:szCs w:val="28"/>
          <w:highlight w:val="none"/>
          <w:lang w:val="en-US" w:eastAsia="zh-CN"/>
        </w:rPr>
      </w:pPr>
    </w:p>
    <w:p>
      <w:pPr>
        <w:jc w:val="center"/>
        <w:rPr>
          <w:rFonts w:hint="eastAsia"/>
          <w:color w:val="auto"/>
          <w:sz w:val="28"/>
          <w:szCs w:val="28"/>
          <w:highlight w:val="none"/>
          <w:lang w:val="en-US" w:eastAsia="zh-CN"/>
        </w:rPr>
      </w:pPr>
    </w:p>
    <w:p>
      <w:pPr>
        <w:jc w:val="center"/>
        <w:rPr>
          <w:rFonts w:hint="eastAsia"/>
          <w:color w:val="auto"/>
          <w:sz w:val="28"/>
          <w:szCs w:val="28"/>
          <w:highlight w:val="none"/>
          <w:lang w:val="en-US" w:eastAsia="zh-CN"/>
        </w:rPr>
      </w:pPr>
    </w:p>
    <w:p>
      <w:pPr>
        <w:jc w:val="center"/>
        <w:rPr>
          <w:rFonts w:hint="eastAsia"/>
          <w:color w:val="auto"/>
          <w:sz w:val="28"/>
          <w:szCs w:val="28"/>
          <w:highlight w:val="none"/>
          <w:lang w:val="en-US" w:eastAsia="zh-CN"/>
        </w:rPr>
      </w:pPr>
    </w:p>
    <w:p>
      <w:pPr>
        <w:jc w:val="center"/>
        <w:rPr>
          <w:rFonts w:hint="eastAsia"/>
          <w:color w:val="auto"/>
          <w:sz w:val="28"/>
          <w:szCs w:val="28"/>
          <w:highlight w:val="none"/>
          <w:lang w:val="en-US" w:eastAsia="zh-CN"/>
        </w:rPr>
      </w:pPr>
    </w:p>
    <w:p>
      <w:pPr>
        <w:jc w:val="center"/>
        <w:rPr>
          <w:rFonts w:hint="eastAsia"/>
          <w:color w:val="auto"/>
          <w:sz w:val="28"/>
          <w:szCs w:val="28"/>
          <w:highlight w:val="none"/>
          <w:lang w:val="en-US" w:eastAsia="zh-CN"/>
        </w:rPr>
      </w:pPr>
    </w:p>
    <w:p>
      <w:pPr>
        <w:pStyle w:val="2"/>
        <w:numPr>
          <w:ilvl w:val="0"/>
          <w:numId w:val="2"/>
        </w:numPr>
        <w:bidi w:val="0"/>
        <w:rPr>
          <w:rFonts w:hint="eastAsia"/>
          <w:b/>
          <w:color w:val="auto"/>
          <w:sz w:val="28"/>
          <w:szCs w:val="18"/>
          <w:highlight w:val="none"/>
          <w:lang w:val="en-US" w:eastAsia="zh-CN"/>
        </w:rPr>
        <w:sectPr>
          <w:pgSz w:w="11906" w:h="16838"/>
          <w:pgMar w:top="1440" w:right="1800" w:bottom="1440" w:left="1800" w:header="851" w:footer="992" w:gutter="0"/>
          <w:cols w:space="425" w:num="1"/>
          <w:titlePg/>
          <w:docGrid w:type="lines" w:linePitch="312" w:charSpace="0"/>
        </w:sectPr>
      </w:pPr>
    </w:p>
    <w:p>
      <w:pPr>
        <w:pStyle w:val="2"/>
        <w:numPr>
          <w:ilvl w:val="0"/>
          <w:numId w:val="2"/>
        </w:numPr>
        <w:bidi w:val="0"/>
        <w:rPr>
          <w:rFonts w:hint="eastAsia"/>
          <w:b/>
          <w:color w:val="auto"/>
          <w:sz w:val="28"/>
          <w:szCs w:val="18"/>
          <w:highlight w:val="none"/>
          <w:lang w:val="en-US" w:eastAsia="zh-CN"/>
        </w:rPr>
      </w:pPr>
      <w:bookmarkStart w:id="9" w:name="_Toc14526_WPSOffice_Level1"/>
      <w:r>
        <w:rPr>
          <w:rFonts w:hint="eastAsia"/>
          <w:b/>
          <w:color w:val="auto"/>
          <w:sz w:val="28"/>
          <w:szCs w:val="18"/>
          <w:highlight w:val="none"/>
          <w:lang w:val="en-US" w:eastAsia="zh-CN"/>
        </w:rPr>
        <w:t>总则</w:t>
      </w:r>
      <w:bookmarkEnd w:id="9"/>
    </w:p>
    <w:p>
      <w:pPr>
        <w:numPr>
          <w:ilvl w:val="0"/>
          <w:numId w:val="3"/>
        </w:numP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本技术规范书适用于四川泸州川南发电有限责任公司</w:t>
      </w:r>
      <w:r>
        <w:rPr>
          <w:rFonts w:hint="eastAsia" w:ascii="仿宋_GB2312" w:hAnsi="宋体" w:eastAsia="仿宋_GB2312"/>
          <w:color w:val="auto"/>
          <w:sz w:val="24"/>
          <w:highlight w:val="none"/>
          <w:lang w:eastAsia="zh-CN"/>
        </w:rPr>
        <w:t>（以下简称：比选人）</w:t>
      </w:r>
      <w:r>
        <w:rPr>
          <w:rFonts w:hint="eastAsia" w:ascii="仿宋_GB2312" w:hAnsi="宋体" w:eastAsia="仿宋_GB2312"/>
          <w:color w:val="auto"/>
          <w:sz w:val="24"/>
          <w:highlight w:val="none"/>
          <w:lang w:val="en-US" w:eastAsia="zh-CN"/>
        </w:rPr>
        <w:t>其它一般工业固废（工业垃圾）处理技术要求</w:t>
      </w:r>
      <w:r>
        <w:rPr>
          <w:rFonts w:hint="eastAsia" w:ascii="仿宋_GB2312" w:hAnsi="宋体" w:eastAsia="仿宋_GB2312"/>
          <w:color w:val="auto"/>
          <w:sz w:val="24"/>
          <w:highlight w:val="none"/>
        </w:rPr>
        <w:t>，</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负责</w:t>
      </w:r>
      <w:r>
        <w:rPr>
          <w:rFonts w:hint="eastAsia" w:ascii="仿宋_GB2312" w:hAnsi="宋体" w:eastAsia="仿宋_GB2312"/>
          <w:color w:val="auto"/>
          <w:sz w:val="24"/>
          <w:highlight w:val="none"/>
          <w:lang w:val="en-US" w:eastAsia="zh-CN"/>
        </w:rPr>
        <w:t>其它一般工业固体废物（工业垃圾）装载、运输、贮存及处置利用</w:t>
      </w:r>
      <w:r>
        <w:rPr>
          <w:rFonts w:hint="eastAsia" w:ascii="仿宋_GB2312" w:hAnsi="宋体" w:eastAsia="仿宋_GB2312"/>
          <w:color w:val="auto"/>
          <w:sz w:val="24"/>
          <w:highlight w:val="none"/>
        </w:rPr>
        <w:t>。</w:t>
      </w:r>
    </w:p>
    <w:p>
      <w:pPr>
        <w:numPr>
          <w:ilvl w:val="0"/>
          <w:numId w:val="3"/>
        </w:numP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本技术规范书</w:t>
      </w:r>
      <w:r>
        <w:rPr>
          <w:rFonts w:hint="eastAsia" w:ascii="仿宋_GB2312" w:hAnsi="宋体" w:eastAsia="仿宋_GB2312"/>
          <w:color w:val="auto"/>
          <w:sz w:val="24"/>
          <w:highlight w:val="none"/>
          <w:lang w:val="en-US" w:eastAsia="zh-CN"/>
        </w:rPr>
        <w:t>提出了有关其它一般工业固废（工业垃圾）装载、运输、贮存及处置利用要求，</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应满足</w:t>
      </w:r>
      <w:r>
        <w:rPr>
          <w:rFonts w:hint="eastAsia" w:ascii="仿宋_GB2312" w:hAnsi="宋体" w:eastAsia="仿宋_GB2312"/>
          <w:color w:val="auto"/>
          <w:sz w:val="24"/>
          <w:highlight w:val="none"/>
          <w:lang w:eastAsia="zh-CN"/>
        </w:rPr>
        <w:t>比选人</w:t>
      </w:r>
      <w:r>
        <w:rPr>
          <w:rFonts w:hint="eastAsia" w:ascii="仿宋_GB2312" w:hAnsi="宋体" w:eastAsia="仿宋_GB2312"/>
          <w:color w:val="auto"/>
          <w:sz w:val="24"/>
          <w:highlight w:val="none"/>
          <w:lang w:val="en-US" w:eastAsia="zh-CN"/>
        </w:rPr>
        <w:t>其它一般工业固废处理（工业垃圾）的装载、运输、贮存场地及处置要求，</w:t>
      </w:r>
      <w:r>
        <w:rPr>
          <w:rFonts w:hint="eastAsia" w:ascii="仿宋_GB2312" w:hAnsi="宋体" w:eastAsia="仿宋_GB2312"/>
          <w:color w:val="auto"/>
          <w:sz w:val="24"/>
          <w:highlight w:val="none"/>
        </w:rPr>
        <w:t>并保证</w:t>
      </w:r>
      <w:r>
        <w:rPr>
          <w:rFonts w:hint="eastAsia" w:ascii="仿宋_GB2312" w:hAnsi="宋体" w:eastAsia="仿宋_GB2312"/>
          <w:color w:val="auto"/>
          <w:sz w:val="24"/>
          <w:highlight w:val="none"/>
          <w:lang w:val="en-US" w:eastAsia="zh-CN"/>
        </w:rPr>
        <w:t>所处置利用的其它一般工业固体废物（工业垃圾）符合国家及行业相关法律、法规、规程要求。</w:t>
      </w:r>
    </w:p>
    <w:p>
      <w:pPr>
        <w:numPr>
          <w:ilvl w:val="0"/>
          <w:numId w:val="3"/>
        </w:numPr>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投标时提供营业执照</w:t>
      </w:r>
      <w:r>
        <w:rPr>
          <w:rFonts w:hint="eastAsia" w:ascii="仿宋_GB2312" w:hAnsi="宋体" w:eastAsia="仿宋_GB2312"/>
          <w:color w:val="auto"/>
          <w:sz w:val="24"/>
          <w:highlight w:val="none"/>
          <w:lang w:eastAsia="zh-CN"/>
        </w:rPr>
        <w:t>、</w:t>
      </w:r>
      <w:r>
        <w:rPr>
          <w:rFonts w:hint="eastAsia" w:ascii="仿宋_GB2312" w:hAnsi="宋体" w:eastAsia="仿宋_GB2312"/>
          <w:color w:val="auto"/>
          <w:sz w:val="24"/>
          <w:highlight w:val="none"/>
          <w:lang w:val="en-US" w:eastAsia="zh-CN"/>
        </w:rPr>
        <w:t>环境影响评价资料相关章节、环境影响评价批复文件及</w:t>
      </w:r>
      <w:r>
        <w:rPr>
          <w:rFonts w:hint="eastAsia" w:ascii="仿宋_GB2312" w:hAnsi="宋体" w:eastAsia="仿宋_GB2312"/>
          <w:color w:val="auto"/>
          <w:sz w:val="24"/>
          <w:highlight w:val="none"/>
        </w:rPr>
        <w:t>业绩证明</w:t>
      </w:r>
      <w:r>
        <w:rPr>
          <w:rFonts w:hint="eastAsia" w:ascii="仿宋_GB2312" w:hAnsi="宋体" w:eastAsia="仿宋_GB2312"/>
          <w:color w:val="auto"/>
          <w:sz w:val="24"/>
          <w:highlight w:val="none"/>
          <w:lang w:eastAsia="zh-CN"/>
        </w:rPr>
        <w:t>（需具有</w:t>
      </w:r>
      <w:r>
        <w:rPr>
          <w:rFonts w:hint="eastAsia" w:ascii="仿宋_GB2312" w:hAnsi="宋体" w:eastAsia="仿宋_GB2312"/>
          <w:color w:val="auto"/>
          <w:sz w:val="24"/>
          <w:highlight w:val="none"/>
          <w:lang w:val="en-US" w:eastAsia="zh-CN"/>
        </w:rPr>
        <w:t>2022年至今至少1个同类型业绩</w:t>
      </w:r>
      <w:r>
        <w:rPr>
          <w:rFonts w:hint="eastAsia" w:ascii="仿宋_GB2312" w:hAnsi="宋体" w:eastAsia="仿宋_GB2312"/>
          <w:color w:val="auto"/>
          <w:sz w:val="24"/>
          <w:highlight w:val="none"/>
          <w:lang w:eastAsia="zh-CN"/>
        </w:rPr>
        <w:t>）</w:t>
      </w:r>
      <w:r>
        <w:rPr>
          <w:rFonts w:hint="eastAsia" w:ascii="仿宋_GB2312" w:hAnsi="宋体" w:eastAsia="仿宋_GB2312"/>
          <w:color w:val="auto"/>
          <w:sz w:val="24"/>
          <w:highlight w:val="none"/>
        </w:rPr>
        <w:t>。</w:t>
      </w:r>
    </w:p>
    <w:p>
      <w:pPr>
        <w:numPr>
          <w:ilvl w:val="0"/>
          <w:numId w:val="3"/>
        </w:numPr>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rPr>
        <w:t>本技术规范书提出的是最低限度的技术要求，并未对一切技术细节作出规定，也未充分引述有关标准和规范的条文。</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应保证提供符合本规范书和现行行业标准的优质</w:t>
      </w:r>
      <w:r>
        <w:rPr>
          <w:rFonts w:hint="eastAsia" w:ascii="仿宋_GB2312" w:hAnsi="宋体" w:eastAsia="仿宋_GB2312"/>
          <w:color w:val="auto"/>
          <w:sz w:val="24"/>
          <w:highlight w:val="none"/>
          <w:lang w:val="en-US" w:eastAsia="zh-CN"/>
        </w:rPr>
        <w:t>服务。</w:t>
      </w:r>
    </w:p>
    <w:p>
      <w:pPr>
        <w:numPr>
          <w:ilvl w:val="0"/>
          <w:numId w:val="3"/>
        </w:numPr>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rPr>
        <w:t>对国家有关安全、环保等强制性标准，</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必须全部满足其要求</w:t>
      </w:r>
      <w:r>
        <w:rPr>
          <w:rFonts w:hint="eastAsia" w:ascii="仿宋_GB2312" w:hAnsi="宋体" w:eastAsia="仿宋_GB2312"/>
          <w:color w:val="auto"/>
          <w:sz w:val="24"/>
          <w:highlight w:val="none"/>
          <w:lang w:eastAsia="zh-CN"/>
        </w:rPr>
        <w:t>。</w:t>
      </w:r>
    </w:p>
    <w:p>
      <w:pPr>
        <w:numPr>
          <w:ilvl w:val="0"/>
          <w:numId w:val="3"/>
        </w:numP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在签订合同之后，到</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开始</w:t>
      </w:r>
      <w:r>
        <w:rPr>
          <w:rFonts w:hint="eastAsia" w:ascii="仿宋_GB2312" w:hAnsi="宋体" w:eastAsia="仿宋_GB2312"/>
          <w:color w:val="auto"/>
          <w:sz w:val="24"/>
          <w:highlight w:val="none"/>
          <w:lang w:val="en-US" w:eastAsia="zh-CN"/>
        </w:rPr>
        <w:t>处理</w:t>
      </w:r>
      <w:r>
        <w:rPr>
          <w:rFonts w:hint="eastAsia" w:ascii="仿宋_GB2312" w:hAnsi="宋体" w:eastAsia="仿宋_GB2312"/>
          <w:color w:val="auto"/>
          <w:sz w:val="24"/>
          <w:highlight w:val="none"/>
        </w:rPr>
        <w:t>这段时间内，</w:t>
      </w:r>
      <w:r>
        <w:rPr>
          <w:rFonts w:hint="eastAsia" w:ascii="仿宋_GB2312" w:hAnsi="宋体" w:eastAsia="仿宋_GB2312"/>
          <w:color w:val="auto"/>
          <w:sz w:val="24"/>
          <w:highlight w:val="none"/>
          <w:lang w:eastAsia="zh-CN"/>
        </w:rPr>
        <w:t>比选人</w:t>
      </w:r>
      <w:r>
        <w:rPr>
          <w:rFonts w:hint="eastAsia" w:ascii="仿宋_GB2312" w:hAnsi="宋体" w:eastAsia="仿宋_GB2312"/>
          <w:color w:val="auto"/>
          <w:sz w:val="24"/>
          <w:highlight w:val="none"/>
        </w:rPr>
        <w:t>有权提出因</w:t>
      </w:r>
      <w:r>
        <w:rPr>
          <w:rFonts w:hint="eastAsia" w:ascii="仿宋_GB2312" w:hAnsi="宋体" w:eastAsia="仿宋_GB2312"/>
          <w:color w:val="auto"/>
          <w:sz w:val="24"/>
          <w:highlight w:val="none"/>
          <w:lang w:val="en-US" w:eastAsia="zh-CN"/>
        </w:rPr>
        <w:t>法律、</w:t>
      </w:r>
      <w:r>
        <w:rPr>
          <w:rFonts w:hint="eastAsia" w:ascii="仿宋_GB2312" w:hAnsi="宋体" w:eastAsia="仿宋_GB2312"/>
          <w:color w:val="auto"/>
          <w:sz w:val="24"/>
          <w:highlight w:val="none"/>
        </w:rPr>
        <w:t>规范、标准和规程发生变化而产生的一些补充修改要求，</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应遵守这个要求，具体款项内容由招、</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商定。</w:t>
      </w:r>
    </w:p>
    <w:p>
      <w:pPr>
        <w:numPr>
          <w:ilvl w:val="0"/>
          <w:numId w:val="3"/>
        </w:numP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本技术规范书所使用的标准，如遇与</w:t>
      </w:r>
      <w:r>
        <w:rPr>
          <w:rFonts w:hint="eastAsia" w:ascii="仿宋_GB2312" w:hAnsi="宋体" w:eastAsia="仿宋_GB2312"/>
          <w:color w:val="auto"/>
          <w:sz w:val="24"/>
          <w:highlight w:val="none"/>
          <w:lang w:eastAsia="zh-CN"/>
        </w:rPr>
        <w:t>比选人</w:t>
      </w:r>
      <w:r>
        <w:rPr>
          <w:rFonts w:hint="eastAsia" w:ascii="仿宋_GB2312" w:hAnsi="宋体" w:eastAsia="仿宋_GB2312"/>
          <w:color w:val="auto"/>
          <w:sz w:val="24"/>
          <w:highlight w:val="none"/>
        </w:rPr>
        <w:t>所执行的标准不一致时，按较高的标准执行。如果本技术规范书与现行使用的有关国家标准以及部颁标准有明显抵触的条文，</w:t>
      </w:r>
      <w:r>
        <w:rPr>
          <w:rFonts w:hint="eastAsia" w:ascii="仿宋_GB2312" w:hAnsi="宋体" w:eastAsia="仿宋_GB2312"/>
          <w:color w:val="auto"/>
          <w:sz w:val="24"/>
          <w:highlight w:val="none"/>
          <w:lang w:eastAsia="zh-CN"/>
        </w:rPr>
        <w:t>比选申请人</w:t>
      </w:r>
      <w:r>
        <w:rPr>
          <w:rFonts w:hint="eastAsia" w:ascii="仿宋_GB2312" w:hAnsi="宋体" w:eastAsia="仿宋_GB2312"/>
          <w:color w:val="auto"/>
          <w:sz w:val="24"/>
          <w:highlight w:val="none"/>
        </w:rPr>
        <w:t>应及时书面通知</w:t>
      </w:r>
      <w:r>
        <w:rPr>
          <w:rFonts w:hint="eastAsia" w:ascii="仿宋_GB2312" w:hAnsi="宋体" w:eastAsia="仿宋_GB2312"/>
          <w:color w:val="auto"/>
          <w:sz w:val="24"/>
          <w:highlight w:val="none"/>
          <w:lang w:eastAsia="zh-CN"/>
        </w:rPr>
        <w:t>比选人</w:t>
      </w:r>
      <w:r>
        <w:rPr>
          <w:rFonts w:hint="eastAsia" w:ascii="仿宋_GB2312" w:hAnsi="宋体" w:eastAsia="仿宋_GB2312"/>
          <w:color w:val="auto"/>
          <w:sz w:val="24"/>
          <w:highlight w:val="none"/>
        </w:rPr>
        <w:t>进行解决。</w:t>
      </w:r>
    </w:p>
    <w:p>
      <w:pPr>
        <w:numPr>
          <w:ilvl w:val="0"/>
          <w:numId w:val="3"/>
        </w:numPr>
        <w:rPr>
          <w:rFonts w:hint="default" w:ascii="仿宋_GB2312" w:hAnsi="宋体" w:eastAsia="仿宋_GB2312"/>
          <w:color w:val="auto"/>
          <w:sz w:val="24"/>
          <w:highlight w:val="none"/>
          <w:lang w:val="en-US" w:eastAsia="zh-CN"/>
        </w:rPr>
      </w:pPr>
      <w:r>
        <w:rPr>
          <w:rFonts w:hint="default" w:ascii="仿宋_GB2312" w:hAnsi="宋体" w:eastAsia="仿宋_GB2312"/>
          <w:color w:val="auto"/>
          <w:sz w:val="24"/>
          <w:highlight w:val="none"/>
          <w:lang w:val="en-US" w:eastAsia="zh-CN"/>
        </w:rPr>
        <w:t>双方共同签署的会议纪要、补充文件将作为合同的有效附件，具有相同的法律效力。</w:t>
      </w:r>
    </w:p>
    <w:p>
      <w:pPr>
        <w:pStyle w:val="2"/>
        <w:numPr>
          <w:ilvl w:val="0"/>
          <w:numId w:val="2"/>
        </w:numPr>
        <w:bidi w:val="0"/>
        <w:rPr>
          <w:rFonts w:hint="default"/>
          <w:b/>
          <w:color w:val="auto"/>
          <w:sz w:val="28"/>
          <w:szCs w:val="18"/>
          <w:highlight w:val="none"/>
          <w:lang w:val="en-US" w:eastAsia="zh-CN"/>
        </w:rPr>
      </w:pPr>
      <w:bookmarkStart w:id="10" w:name="_Toc13528_WPSOffice_Level1"/>
      <w:r>
        <w:rPr>
          <w:rFonts w:hint="eastAsia"/>
          <w:b/>
          <w:color w:val="auto"/>
          <w:sz w:val="28"/>
          <w:szCs w:val="18"/>
          <w:highlight w:val="none"/>
          <w:lang w:val="en-US" w:eastAsia="zh-CN"/>
        </w:rPr>
        <w:t>公司概况、其它一般工业固废（工业垃圾）概述</w:t>
      </w:r>
      <w:bookmarkEnd w:id="10"/>
    </w:p>
    <w:p>
      <w:pPr>
        <w:numPr>
          <w:ilvl w:val="0"/>
          <w:numId w:val="4"/>
        </w:numPr>
        <w:ind w:left="425" w:hanging="425"/>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泸州川南发电公司概况</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电厂厂址位于泸州市江阳区江北镇，西北距江北镇约600m，东北距泸州市区边缘直线距离约15km，公路距离约30km，东面距纳溪区约7.5km，南面距长江北岸约2km，北面距泸州机场跑道轴线延长方向约2km。</w:t>
      </w:r>
    </w:p>
    <w:p>
      <w:pPr>
        <w:numPr>
          <w:ilvl w:val="0"/>
          <w:numId w:val="4"/>
        </w:numPr>
        <w:ind w:left="425" w:hanging="425"/>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其它一般工业固体废物（工业垃圾）概述</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jc w:val="left"/>
        <w:textAlignment w:val="auto"/>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一般工业固废</w:t>
      </w:r>
      <w:r>
        <w:rPr>
          <w:rFonts w:hint="default" w:ascii="仿宋_GB2312" w:hAnsi="宋体" w:eastAsia="仿宋_GB2312"/>
          <w:color w:val="auto"/>
          <w:sz w:val="24"/>
          <w:highlight w:val="none"/>
          <w:lang w:val="en-US" w:eastAsia="zh-CN"/>
        </w:rPr>
        <w:t>指未被列入《国家危险废物名录》或根据国家规定的危险废物鉴别方法判定不具有危险特性的工业固体废物。</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比选人产生的</w:t>
      </w:r>
      <w:r>
        <w:rPr>
          <w:rFonts w:hint="default" w:ascii="仿宋_GB2312" w:hAnsi="宋体" w:eastAsia="仿宋_GB2312"/>
          <w:color w:val="auto"/>
          <w:sz w:val="24"/>
          <w:highlight w:val="none"/>
          <w:lang w:val="en-US" w:eastAsia="zh-CN"/>
        </w:rPr>
        <w:t>一般工业固体废物主要包括：粉煤灰、炉渣、脱硫石膏等发电副产品。其它一般工业固体废物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）主要为</w:t>
      </w:r>
      <w:r>
        <w:rPr>
          <w:rFonts w:hint="default" w:ascii="仿宋_GB2312" w:hAnsi="宋体" w:eastAsia="仿宋_GB2312"/>
          <w:color w:val="auto"/>
          <w:sz w:val="24"/>
          <w:highlight w:val="none"/>
          <w:lang w:val="en-US" w:eastAsia="zh-CN"/>
        </w:rPr>
        <w:t>粉煤灰、炉渣、石膏之外的一般固体废物，如施工垃圾</w:t>
      </w:r>
      <w:r>
        <w:rPr>
          <w:rFonts w:hint="eastAsia" w:ascii="仿宋_GB2312" w:hAnsi="宋体" w:eastAsia="仿宋_GB2312"/>
          <w:color w:val="auto"/>
          <w:sz w:val="24"/>
          <w:highlight w:val="none"/>
          <w:lang w:val="en-US" w:eastAsia="zh-CN"/>
        </w:rPr>
        <w:t>（生活垃圾除外）</w:t>
      </w:r>
      <w:r>
        <w:rPr>
          <w:rFonts w:hint="default" w:ascii="仿宋_GB2312" w:hAnsi="宋体" w:eastAsia="仿宋_GB2312"/>
          <w:color w:val="auto"/>
          <w:sz w:val="24"/>
          <w:highlight w:val="none"/>
          <w:lang w:val="en-US" w:eastAsia="zh-CN"/>
        </w:rPr>
        <w:t>、检修废弃物等。</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本技术规范书所指其它一</w:t>
      </w:r>
      <w:r>
        <w:rPr>
          <w:rFonts w:hint="default" w:ascii="仿宋_GB2312" w:hAnsi="宋体" w:eastAsia="仿宋_GB2312"/>
          <w:color w:val="auto"/>
          <w:sz w:val="24"/>
          <w:highlight w:val="none"/>
          <w:lang w:val="en-US" w:eastAsia="zh-CN"/>
        </w:rPr>
        <w:t>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）不包括上述任何</w:t>
      </w:r>
      <w:r>
        <w:rPr>
          <w:rFonts w:hint="default" w:ascii="仿宋_GB2312" w:hAnsi="宋体" w:eastAsia="仿宋_GB2312"/>
          <w:color w:val="auto"/>
          <w:sz w:val="24"/>
          <w:highlight w:val="none"/>
          <w:lang w:val="en-US" w:eastAsia="zh-CN"/>
        </w:rPr>
        <w:t>发电副产品</w:t>
      </w:r>
      <w:r>
        <w:rPr>
          <w:rFonts w:hint="eastAsia" w:ascii="仿宋_GB2312" w:hAnsi="宋体" w:eastAsia="仿宋_GB2312"/>
          <w:color w:val="auto"/>
          <w:sz w:val="24"/>
          <w:highlight w:val="none"/>
          <w:lang w:val="en-US" w:eastAsia="zh-CN"/>
        </w:rPr>
        <w:t>，主要包括</w:t>
      </w:r>
      <w:r>
        <w:rPr>
          <w:rFonts w:hint="default" w:ascii="仿宋_GB2312" w:hAnsi="宋体" w:eastAsia="仿宋_GB2312"/>
          <w:color w:val="auto"/>
          <w:sz w:val="24"/>
          <w:highlight w:val="none"/>
          <w:lang w:val="en-US" w:eastAsia="zh-CN"/>
        </w:rPr>
        <w:t>施工垃圾</w:t>
      </w:r>
      <w:r>
        <w:rPr>
          <w:rFonts w:hint="eastAsia" w:ascii="仿宋_GB2312" w:hAnsi="宋体" w:eastAsia="仿宋_GB2312"/>
          <w:color w:val="auto"/>
          <w:sz w:val="24"/>
          <w:highlight w:val="none"/>
          <w:lang w:val="en-US" w:eastAsia="zh-CN"/>
        </w:rPr>
        <w:t>（生活垃圾除外）</w:t>
      </w:r>
      <w:r>
        <w:rPr>
          <w:rFonts w:hint="default" w:ascii="仿宋_GB2312" w:hAnsi="宋体" w:eastAsia="仿宋_GB2312"/>
          <w:color w:val="auto"/>
          <w:sz w:val="24"/>
          <w:highlight w:val="none"/>
          <w:lang w:val="en-US" w:eastAsia="zh-CN"/>
        </w:rPr>
        <w:t>、检修废弃物等</w:t>
      </w:r>
      <w:r>
        <w:rPr>
          <w:rFonts w:hint="eastAsia" w:ascii="仿宋_GB2312" w:hAnsi="宋体" w:eastAsia="仿宋_GB2312"/>
          <w:color w:val="auto"/>
          <w:sz w:val="24"/>
          <w:highlight w:val="none"/>
          <w:lang w:val="en-US" w:eastAsia="zh-CN"/>
        </w:rPr>
        <w:t>。</w:t>
      </w:r>
    </w:p>
    <w:p>
      <w:pPr>
        <w:pStyle w:val="2"/>
        <w:numPr>
          <w:ilvl w:val="0"/>
          <w:numId w:val="2"/>
        </w:numPr>
        <w:bidi w:val="0"/>
        <w:rPr>
          <w:rFonts w:hint="default"/>
          <w:b/>
          <w:color w:val="auto"/>
          <w:sz w:val="28"/>
          <w:szCs w:val="18"/>
          <w:highlight w:val="none"/>
          <w:lang w:val="en-US" w:eastAsia="zh-CN"/>
        </w:rPr>
      </w:pPr>
      <w:bookmarkStart w:id="11" w:name="_Toc32276_WPSOffice_Level1"/>
      <w:r>
        <w:rPr>
          <w:rFonts w:hint="eastAsia"/>
          <w:b/>
          <w:color w:val="auto"/>
          <w:sz w:val="28"/>
          <w:szCs w:val="18"/>
          <w:highlight w:val="none"/>
          <w:lang w:val="en-US" w:eastAsia="zh-CN"/>
        </w:rPr>
        <w:t>比选申请人遵守的法律、规范要求</w:t>
      </w:r>
      <w:bookmarkEnd w:id="11"/>
    </w:p>
    <w:p>
      <w:pPr>
        <w:numPr>
          <w:ilvl w:val="0"/>
          <w:numId w:val="0"/>
        </w:numPr>
        <w:rPr>
          <w:rFonts w:hint="default" w:ascii="仿宋_GB2312" w:hAnsi="宋体" w:eastAsia="仿宋_GB2312"/>
          <w:color w:val="auto"/>
          <w:sz w:val="24"/>
          <w:highlight w:val="none"/>
          <w:lang w:val="en-US" w:eastAsia="zh-CN"/>
        </w:rPr>
      </w:pPr>
      <w:r>
        <w:rPr>
          <w:rFonts w:hint="default" w:ascii="仿宋_GB2312" w:hAnsi="宋体" w:eastAsia="仿宋_GB2312"/>
          <w:color w:val="auto"/>
          <w:sz w:val="24"/>
          <w:highlight w:val="none"/>
          <w:lang w:val="en-US" w:eastAsia="zh-CN"/>
        </w:rPr>
        <w:t>《中华人民共和国固体废物污染环境防治法》</w:t>
      </w:r>
    </w:p>
    <w:p>
      <w:pPr>
        <w:numPr>
          <w:ilvl w:val="0"/>
          <w:numId w:val="0"/>
        </w:numPr>
        <w:rPr>
          <w:rFonts w:hint="default" w:ascii="仿宋_GB2312" w:hAnsi="宋体" w:eastAsia="仿宋_GB2312"/>
          <w:color w:val="auto"/>
          <w:sz w:val="24"/>
          <w:highlight w:val="none"/>
          <w:lang w:val="en-US" w:eastAsia="zh-CN"/>
        </w:rPr>
      </w:pPr>
    </w:p>
    <w:p>
      <w:pPr>
        <w:numPr>
          <w:ilvl w:val="0"/>
          <w:numId w:val="0"/>
        </w:numPr>
        <w:rPr>
          <w:rFonts w:hint="default" w:ascii="仿宋_GB2312" w:hAnsi="宋体" w:eastAsia="仿宋_GB2312"/>
          <w:color w:val="auto"/>
          <w:sz w:val="24"/>
          <w:highlight w:val="none"/>
          <w:lang w:val="en-US" w:eastAsia="zh-CN"/>
        </w:rPr>
      </w:pPr>
      <w:r>
        <w:rPr>
          <w:rFonts w:hint="default" w:ascii="仿宋_GB2312" w:hAnsi="宋体" w:eastAsia="仿宋_GB2312"/>
          <w:color w:val="auto"/>
          <w:sz w:val="24"/>
          <w:highlight w:val="none"/>
          <w:lang w:val="en-US" w:eastAsia="zh-CN"/>
        </w:rPr>
        <w:t>《一般工业固体废物贮存和填埋污染控制标准》 （GB 18599</w:t>
      </w:r>
      <w:r>
        <w:rPr>
          <w:rFonts w:hint="eastAsia" w:ascii="仿宋_GB2312" w:hAnsi="宋体" w:eastAsia="仿宋_GB2312"/>
          <w:color w:val="auto"/>
          <w:sz w:val="24"/>
          <w:highlight w:val="none"/>
          <w:lang w:val="en-US" w:eastAsia="zh-CN"/>
        </w:rPr>
        <w:t>-2020</w:t>
      </w:r>
      <w:r>
        <w:rPr>
          <w:rFonts w:hint="default" w:ascii="仿宋_GB2312" w:hAnsi="宋体" w:eastAsia="仿宋_GB2312"/>
          <w:color w:val="auto"/>
          <w:sz w:val="24"/>
          <w:highlight w:val="none"/>
          <w:lang w:val="en-US" w:eastAsia="zh-CN"/>
        </w:rPr>
        <w:t>）</w:t>
      </w:r>
    </w:p>
    <w:p>
      <w:pPr>
        <w:numPr>
          <w:ilvl w:val="0"/>
          <w:numId w:val="0"/>
        </w:numPr>
        <w:rPr>
          <w:rFonts w:hint="default" w:ascii="仿宋_GB2312" w:hAnsi="宋体" w:eastAsia="仿宋_GB2312"/>
          <w:color w:val="auto"/>
          <w:sz w:val="24"/>
          <w:highlight w:val="none"/>
          <w:lang w:val="en-US" w:eastAsia="zh-CN"/>
        </w:rPr>
      </w:pPr>
    </w:p>
    <w:p>
      <w:pPr>
        <w:numPr>
          <w:ilvl w:val="0"/>
          <w:numId w:val="0"/>
        </w:numPr>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《环境保护图形标志—一般固体废物贮存(处置）场》 (GB15562.2-2020)</w:t>
      </w:r>
    </w:p>
    <w:p>
      <w:pPr>
        <w:pStyle w:val="2"/>
        <w:numPr>
          <w:ilvl w:val="0"/>
          <w:numId w:val="2"/>
        </w:numPr>
        <w:bidi w:val="0"/>
        <w:rPr>
          <w:rFonts w:hint="default"/>
          <w:b/>
          <w:color w:val="auto"/>
          <w:sz w:val="28"/>
          <w:szCs w:val="18"/>
          <w:highlight w:val="none"/>
          <w:lang w:val="en-US" w:eastAsia="zh-CN"/>
        </w:rPr>
      </w:pPr>
      <w:bookmarkStart w:id="12" w:name="_Toc24080_WPSOffice_Level1"/>
      <w:r>
        <w:rPr>
          <w:rFonts w:hint="eastAsia"/>
          <w:b/>
          <w:color w:val="auto"/>
          <w:sz w:val="28"/>
          <w:szCs w:val="18"/>
          <w:highlight w:val="none"/>
          <w:lang w:val="en-US" w:eastAsia="zh-CN"/>
        </w:rPr>
        <w:t>项目执行期限</w:t>
      </w:r>
    </w:p>
    <w:p>
      <w:pPr>
        <w:numPr>
          <w:ilvl w:val="0"/>
          <w:numId w:val="0"/>
        </w:numPr>
        <w:rPr>
          <w:rFonts w:hint="default"/>
          <w:lang w:val="en-US" w:eastAsia="zh-CN"/>
        </w:rPr>
      </w:pPr>
      <w:r>
        <w:rPr>
          <w:rFonts w:hint="eastAsia" w:ascii="仿宋_GB2312" w:hAnsi="宋体" w:eastAsia="仿宋_GB2312"/>
          <w:color w:val="auto"/>
          <w:sz w:val="24"/>
          <w:highlight w:val="none"/>
          <w:lang w:val="en-US" w:eastAsia="zh-CN"/>
        </w:rPr>
        <w:t>公司《其它一般工业固废（工业垃圾）》项目执行期限自合同签订之日起3年。</w:t>
      </w:r>
    </w:p>
    <w:p>
      <w:pPr>
        <w:pStyle w:val="2"/>
        <w:numPr>
          <w:ilvl w:val="0"/>
          <w:numId w:val="2"/>
        </w:numPr>
        <w:bidi w:val="0"/>
        <w:rPr>
          <w:rFonts w:hint="default"/>
          <w:b/>
          <w:color w:val="auto"/>
          <w:sz w:val="28"/>
          <w:szCs w:val="18"/>
          <w:highlight w:val="none"/>
          <w:lang w:val="en-US" w:eastAsia="zh-CN"/>
        </w:rPr>
      </w:pPr>
      <w:r>
        <w:rPr>
          <w:rFonts w:hint="eastAsia"/>
          <w:b/>
          <w:color w:val="auto"/>
          <w:sz w:val="28"/>
          <w:szCs w:val="18"/>
          <w:highlight w:val="none"/>
          <w:lang w:val="en-US" w:eastAsia="zh-CN"/>
        </w:rPr>
        <w:t>比选申请人装载要求</w:t>
      </w:r>
      <w:bookmarkEnd w:id="12"/>
      <w:bookmarkStart w:id="18" w:name="_GoBack"/>
      <w:bookmarkEnd w:id="18"/>
    </w:p>
    <w:p>
      <w:pPr>
        <w:numPr>
          <w:ilvl w:val="0"/>
          <w:numId w:val="5"/>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比选申请人自备运输车辆、装卸工具和装卸人员，按比选人提前通知的时间、地点收取其它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），不得影响比选人正常生产经营活动。</w:t>
      </w:r>
    </w:p>
    <w:p>
      <w:pPr>
        <w:numPr>
          <w:ilvl w:val="0"/>
          <w:numId w:val="5"/>
        </w:numPr>
        <w:ind w:leftChars="0"/>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比选申请人运输车辆、装卸工具及人员，应在比选人厂区内文明作业，作业完毕后将作业场地清理干净，并遵守比选人的相关安全、环保管理制度规定，自觉接受比选人的监督管理。</w:t>
      </w:r>
    </w:p>
    <w:p>
      <w:pPr>
        <w:numPr>
          <w:ilvl w:val="0"/>
          <w:numId w:val="5"/>
        </w:numPr>
        <w:ind w:leftChars="0"/>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比选申请人应在装运前检验落实由比选人移交的其它一般工业固体废物（</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）并签字确认，有异议时应在装运前提出。</w:t>
      </w:r>
    </w:p>
    <w:p>
      <w:pPr>
        <w:pStyle w:val="2"/>
        <w:numPr>
          <w:ilvl w:val="0"/>
          <w:numId w:val="2"/>
        </w:numPr>
        <w:bidi w:val="0"/>
        <w:rPr>
          <w:rFonts w:hint="default"/>
          <w:b/>
          <w:color w:val="auto"/>
          <w:sz w:val="28"/>
          <w:szCs w:val="18"/>
          <w:highlight w:val="none"/>
          <w:lang w:val="en-US" w:eastAsia="zh-CN"/>
        </w:rPr>
      </w:pPr>
      <w:bookmarkStart w:id="13" w:name="_Toc28611_WPSOffice_Level1"/>
      <w:r>
        <w:rPr>
          <w:rFonts w:hint="eastAsia"/>
          <w:b/>
          <w:color w:val="auto"/>
          <w:sz w:val="28"/>
          <w:szCs w:val="18"/>
          <w:highlight w:val="none"/>
          <w:lang w:val="en-US" w:eastAsia="zh-CN"/>
        </w:rPr>
        <w:t>比选申请人运输要求</w:t>
      </w:r>
      <w:bookmarkEnd w:id="13"/>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比选申请人由比选人所在地至</w:t>
      </w:r>
      <w:r>
        <w:rPr>
          <w:rFonts w:hint="eastAsia" w:ascii="仿宋_GB2312" w:hAnsi="宋体" w:eastAsia="仿宋_GB2312"/>
          <w:color w:val="000000" w:themeColor="text1"/>
          <w:sz w:val="24"/>
          <w:highlight w:val="none"/>
          <w:lang w:val="en-US" w:eastAsia="zh-CN"/>
          <w14:textFill>
            <w14:solidFill>
              <w14:schemeClr w14:val="tx1"/>
            </w14:solidFill>
          </w14:textFill>
        </w:rPr>
        <w:t>处置利用场所的</w:t>
      </w:r>
      <w:r>
        <w:rPr>
          <w:rFonts w:hint="eastAsia" w:ascii="仿宋_GB2312" w:hAnsi="宋体" w:eastAsia="仿宋_GB2312"/>
          <w:color w:val="auto"/>
          <w:sz w:val="24"/>
          <w:highlight w:val="none"/>
          <w:lang w:val="en-US" w:eastAsia="zh-CN"/>
        </w:rPr>
        <w:t>运输路线应尽量避开人口密集区等敏感地点，投标时需提供运输车辆路线图。</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比选申请人运输时间应选择在合适时段，减少运输车辆在路途中停留时间。</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比选申请人运输前必须确保对车辆货箱进行苫盖，装载量不得超过车箱高度，或采用全封闭式厢式车辆进行运输。</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比选申请人运输车辆进出场时需在比选人指定区域进行冲洗，确保运输途中不超载、不抛洒、不滴漏，严防二次污染。</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比选申请人运输车辆进出场时需在比选人指定区域过磅称重，</w:t>
      </w:r>
      <w:r>
        <w:rPr>
          <w:rFonts w:hint="default" w:ascii="仿宋_GB2312" w:hAnsi="宋体" w:eastAsia="仿宋_GB2312"/>
          <w:color w:val="auto"/>
          <w:sz w:val="24"/>
          <w:highlight w:val="none"/>
          <w:lang w:val="en-US" w:eastAsia="zh-CN"/>
        </w:rPr>
        <w:t>转移过程要执行转移交接记录制度，明确转移量、转移车辆及驾驶员、转移去向，由</w:t>
      </w:r>
      <w:r>
        <w:rPr>
          <w:rFonts w:hint="eastAsia" w:ascii="仿宋_GB2312" w:hAnsi="宋体" w:eastAsia="仿宋_GB2312"/>
          <w:color w:val="auto"/>
          <w:sz w:val="24"/>
          <w:highlight w:val="none"/>
          <w:lang w:val="en-US" w:eastAsia="zh-CN"/>
        </w:rPr>
        <w:t>比选人</w:t>
      </w:r>
      <w:r>
        <w:rPr>
          <w:rFonts w:hint="default" w:ascii="仿宋_GB2312" w:hAnsi="宋体" w:eastAsia="仿宋_GB2312"/>
          <w:color w:val="auto"/>
          <w:sz w:val="24"/>
          <w:highlight w:val="none"/>
          <w:lang w:val="en-US" w:eastAsia="zh-CN"/>
        </w:rPr>
        <w:t>及</w:t>
      </w:r>
      <w:r>
        <w:rPr>
          <w:rFonts w:hint="eastAsia" w:ascii="仿宋_GB2312" w:hAnsi="宋体" w:eastAsia="仿宋_GB2312"/>
          <w:color w:val="auto"/>
          <w:sz w:val="24"/>
          <w:highlight w:val="none"/>
          <w:lang w:val="en-US" w:eastAsia="zh-CN"/>
        </w:rPr>
        <w:t>比选申请人</w:t>
      </w:r>
      <w:r>
        <w:rPr>
          <w:rFonts w:hint="default" w:ascii="仿宋_GB2312" w:hAnsi="宋体" w:eastAsia="仿宋_GB2312"/>
          <w:color w:val="auto"/>
          <w:sz w:val="24"/>
          <w:highlight w:val="none"/>
          <w:lang w:val="en-US" w:eastAsia="zh-CN"/>
        </w:rPr>
        <w:t>分别签字盖章。</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比选申请人运输车辆载重量不得超过核定的载质量，严禁超载。</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为避免运输过程中抛洒、滴漏等情况发生，比选申请人运输车辆应随车携带清理工具，及时对抛洒、滴漏物进行收集。</w:t>
      </w:r>
    </w:p>
    <w:p>
      <w:pPr>
        <w:numPr>
          <w:ilvl w:val="0"/>
          <w:numId w:val="6"/>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比选申请人应保证运输路线与指定路线一致，不得擅自将其它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）向符合国家要求的贮存场、填埋场以外的地方倾倒、堆放。</w:t>
      </w:r>
    </w:p>
    <w:p>
      <w:pPr>
        <w:pStyle w:val="2"/>
        <w:numPr>
          <w:ilvl w:val="0"/>
          <w:numId w:val="2"/>
        </w:numPr>
        <w:bidi w:val="0"/>
        <w:rPr>
          <w:rFonts w:hint="default"/>
          <w:b/>
          <w:color w:val="auto"/>
          <w:sz w:val="28"/>
          <w:szCs w:val="18"/>
          <w:highlight w:val="none"/>
          <w:lang w:val="en-US" w:eastAsia="zh-CN"/>
        </w:rPr>
      </w:pPr>
      <w:bookmarkStart w:id="14" w:name="_Toc4285_WPSOffice_Level1"/>
      <w:r>
        <w:rPr>
          <w:rFonts w:hint="eastAsia"/>
          <w:b/>
          <w:color w:val="auto"/>
          <w:sz w:val="28"/>
          <w:szCs w:val="18"/>
          <w:highlight w:val="none"/>
          <w:lang w:val="en-US" w:eastAsia="zh-CN"/>
        </w:rPr>
        <w:t>比选申请人贮存场、填埋场要求</w:t>
      </w:r>
      <w:bookmarkEnd w:id="14"/>
    </w:p>
    <w:p>
      <w:pPr>
        <w:numPr>
          <w:ilvl w:val="0"/>
          <w:numId w:val="7"/>
        </w:numPr>
        <w:ind w:leftChars="0"/>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比选申请人需具有一般工业固体废物贮存场，即用于临时堆放一般工业固体废物的土地贮存设施。封场后的贮存场按照填埋场进行管理。</w:t>
      </w:r>
    </w:p>
    <w:p>
      <w:pPr>
        <w:numPr>
          <w:ilvl w:val="0"/>
          <w:numId w:val="7"/>
        </w:numPr>
        <w:ind w:leftChars="0"/>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比选申请人贮存场、填埋场需满足</w:t>
      </w:r>
      <w:r>
        <w:rPr>
          <w:rFonts w:hint="default" w:ascii="仿宋_GB2312" w:hAnsi="宋体" w:eastAsia="仿宋_GB2312"/>
          <w:color w:val="auto"/>
          <w:sz w:val="24"/>
          <w:highlight w:val="none"/>
          <w:lang w:val="en-US" w:eastAsia="zh-CN"/>
        </w:rPr>
        <w:t>《一般工业固体废物贮存和填埋污染控制标准》</w:t>
      </w:r>
      <w:r>
        <w:rPr>
          <w:rFonts w:hint="eastAsia" w:ascii="仿宋_GB2312" w:hAnsi="宋体" w:eastAsia="仿宋_GB2312"/>
          <w:color w:val="auto"/>
          <w:sz w:val="24"/>
          <w:highlight w:val="none"/>
          <w:lang w:val="en-US" w:eastAsia="zh-CN"/>
        </w:rPr>
        <w:t>中相应条款要求。</w:t>
      </w:r>
    </w:p>
    <w:p>
      <w:pPr>
        <w:numPr>
          <w:ilvl w:val="0"/>
          <w:numId w:val="7"/>
        </w:numPr>
        <w:ind w:leftChars="0"/>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比选申请人贮存场、填埋场的位置与周围居民区的距离应依据环境影响评价文件及审批意见确定。</w:t>
      </w:r>
    </w:p>
    <w:p>
      <w:pPr>
        <w:numPr>
          <w:ilvl w:val="0"/>
          <w:numId w:val="7"/>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比选申请人一般工业固体废物贮存场、填埋场的选址应符合环境保护法律法规及相关法定规划要求。</w:t>
      </w:r>
    </w:p>
    <w:p>
      <w:pPr>
        <w:numPr>
          <w:ilvl w:val="0"/>
          <w:numId w:val="7"/>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比选申请人易产生扬尘的贮存或填埋场应采取分区作业、覆盖、洒水等有效抑尘措施防止扬尘污染。</w:t>
      </w:r>
    </w:p>
    <w:p>
      <w:pPr>
        <w:numPr>
          <w:ilvl w:val="0"/>
          <w:numId w:val="7"/>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比选申请人需要按照《环境保护图形标志—一般固体废物贮存(处置）场》要求，按规定张贴相应标志标识。</w:t>
      </w:r>
    </w:p>
    <w:p>
      <w:pPr>
        <w:numPr>
          <w:ilvl w:val="0"/>
          <w:numId w:val="7"/>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比选申请人投标时需提供贮存场、填埋场全景照片、标志标识照片、周边环境照片、环境影响评价文件及环保部门批复审批同意意见。</w:t>
      </w:r>
    </w:p>
    <w:p>
      <w:pPr>
        <w:pStyle w:val="2"/>
        <w:numPr>
          <w:ilvl w:val="0"/>
          <w:numId w:val="2"/>
        </w:numPr>
        <w:bidi w:val="0"/>
        <w:rPr>
          <w:rFonts w:hint="default"/>
          <w:b/>
          <w:color w:val="auto"/>
          <w:sz w:val="28"/>
          <w:szCs w:val="18"/>
          <w:highlight w:val="none"/>
          <w:lang w:val="en-US" w:eastAsia="zh-CN"/>
        </w:rPr>
      </w:pPr>
      <w:bookmarkStart w:id="15" w:name="_Toc18979_WPSOffice_Level1"/>
      <w:r>
        <w:rPr>
          <w:rFonts w:hint="eastAsia"/>
          <w:b/>
          <w:color w:val="auto"/>
          <w:sz w:val="28"/>
          <w:szCs w:val="18"/>
          <w:highlight w:val="none"/>
          <w:lang w:val="en-US" w:eastAsia="zh-CN"/>
        </w:rPr>
        <w:t>比选申请人处置、利用要求</w:t>
      </w:r>
      <w:bookmarkEnd w:id="15"/>
    </w:p>
    <w:p>
      <w:pPr>
        <w:numPr>
          <w:ilvl w:val="0"/>
          <w:numId w:val="8"/>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比选申请人应先对其它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）进行分类，对可利用部分进行再生利用。</w:t>
      </w:r>
    </w:p>
    <w:p>
      <w:pPr>
        <w:numPr>
          <w:ilvl w:val="0"/>
          <w:numId w:val="8"/>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比选申请人对其它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）处置必须采用无害化处置措施。</w:t>
      </w:r>
    </w:p>
    <w:p>
      <w:pPr>
        <w:numPr>
          <w:ilvl w:val="0"/>
          <w:numId w:val="8"/>
        </w:numPr>
        <w:ind w:leftChars="0"/>
        <w:jc w:val="left"/>
        <w:rPr>
          <w:rFonts w:hint="default"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比选申请人因其它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）处置不当造成的安全、生态环境问题及法律责任均与比选人无关。</w:t>
      </w:r>
    </w:p>
    <w:p>
      <w:pPr>
        <w:pStyle w:val="2"/>
        <w:numPr>
          <w:ilvl w:val="0"/>
          <w:numId w:val="2"/>
        </w:numPr>
        <w:bidi w:val="0"/>
        <w:rPr>
          <w:rFonts w:hint="eastAsia"/>
          <w:b/>
          <w:color w:val="auto"/>
          <w:sz w:val="28"/>
          <w:szCs w:val="18"/>
          <w:highlight w:val="none"/>
          <w:lang w:val="en-US" w:eastAsia="zh-CN"/>
        </w:rPr>
      </w:pPr>
      <w:bookmarkStart w:id="16" w:name="_Toc15776_WPSOffice_Level1"/>
      <w:r>
        <w:rPr>
          <w:rFonts w:hint="eastAsia"/>
          <w:b/>
          <w:color w:val="auto"/>
          <w:sz w:val="28"/>
          <w:szCs w:val="18"/>
          <w:highlight w:val="none"/>
          <w:lang w:val="en-US" w:eastAsia="zh-CN"/>
        </w:rPr>
        <w:t>责任风险转接</w:t>
      </w:r>
      <w:bookmarkEnd w:id="16"/>
    </w:p>
    <w:p>
      <w:pPr>
        <w:numPr>
          <w:ilvl w:val="0"/>
          <w:numId w:val="0"/>
        </w:numPr>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）的责任风险转接。</w:t>
      </w:r>
    </w:p>
    <w:p>
      <w:pPr>
        <w:numPr>
          <w:ilvl w:val="0"/>
          <w:numId w:val="0"/>
        </w:numPr>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1.1比选人将其它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）交由比选申请人签收之前的一切责任风险由比选人承担。</w:t>
      </w:r>
    </w:p>
    <w:p>
      <w:pPr>
        <w:numPr>
          <w:ilvl w:val="0"/>
          <w:numId w:val="0"/>
        </w:numPr>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1.2其它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）交比选申请人签收之后的一切责任和风险由比选申请人承担。</w:t>
      </w:r>
    </w:p>
    <w:p>
      <w:pPr>
        <w:pStyle w:val="2"/>
        <w:numPr>
          <w:ilvl w:val="0"/>
          <w:numId w:val="2"/>
        </w:numPr>
        <w:bidi w:val="0"/>
        <w:rPr>
          <w:rFonts w:hint="eastAsia"/>
          <w:b/>
          <w:color w:val="auto"/>
          <w:sz w:val="28"/>
          <w:szCs w:val="18"/>
          <w:highlight w:val="none"/>
          <w:lang w:val="en-US" w:eastAsia="zh-CN"/>
        </w:rPr>
      </w:pPr>
      <w:bookmarkStart w:id="17" w:name="_Toc26122_WPSOffice_Level1"/>
      <w:r>
        <w:rPr>
          <w:rFonts w:hint="eastAsia"/>
          <w:b/>
          <w:color w:val="auto"/>
          <w:sz w:val="28"/>
          <w:szCs w:val="18"/>
          <w:highlight w:val="none"/>
          <w:lang w:val="en-US" w:eastAsia="zh-CN"/>
        </w:rPr>
        <w:t>考核条款</w:t>
      </w:r>
      <w:bookmarkEnd w:id="17"/>
    </w:p>
    <w:p>
      <w:pPr>
        <w:numPr>
          <w:ilvl w:val="0"/>
          <w:numId w:val="0"/>
        </w:numPr>
        <w:jc w:val="left"/>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1.比选申请人出现下列情形之一，比选人考核比选申请人1000-5000元/次，考核费用从其它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）清运费中扣除。</w:t>
      </w:r>
    </w:p>
    <w:p>
      <w:pPr>
        <w:numPr>
          <w:ilvl w:val="0"/>
          <w:numId w:val="0"/>
        </w:numPr>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1.1比选申请人不遵守比选人安全、环保管理制度规定，不服从比选人的监督管理。</w:t>
      </w:r>
    </w:p>
    <w:p>
      <w:pPr>
        <w:numPr>
          <w:ilvl w:val="0"/>
          <w:numId w:val="0"/>
        </w:numPr>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1.2未按指定的时间、地点收取、装运其它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w:t>
      </w:r>
    </w:p>
    <w:p>
      <w:pPr>
        <w:numPr>
          <w:ilvl w:val="0"/>
          <w:numId w:val="0"/>
        </w:numPr>
        <w:rPr>
          <w:rFonts w:hint="eastAsia" w:ascii="仿宋_GB2312" w:hAnsi="宋体" w:eastAsia="仿宋_GB2312"/>
          <w:color w:val="auto"/>
          <w:sz w:val="24"/>
          <w:highlight w:val="none"/>
          <w:lang w:val="en-US" w:eastAsia="zh-CN"/>
        </w:rPr>
      </w:pPr>
      <w:r>
        <w:rPr>
          <w:rFonts w:hint="eastAsia" w:ascii="仿宋_GB2312" w:hAnsi="宋体" w:eastAsia="仿宋_GB2312"/>
          <w:color w:val="auto"/>
          <w:sz w:val="24"/>
          <w:highlight w:val="none"/>
          <w:lang w:val="en-US" w:eastAsia="zh-CN"/>
        </w:rPr>
        <w:t>1.3向约定地点以外的地方倾倒、堆放其它</w:t>
      </w:r>
      <w:r>
        <w:rPr>
          <w:rFonts w:hint="default" w:ascii="仿宋_GB2312" w:hAnsi="宋体" w:eastAsia="仿宋_GB2312"/>
          <w:color w:val="auto"/>
          <w:sz w:val="24"/>
          <w:highlight w:val="none"/>
          <w:lang w:val="en-US" w:eastAsia="zh-CN"/>
        </w:rPr>
        <w:t>一般工业固体废物</w:t>
      </w:r>
      <w:r>
        <w:rPr>
          <w:rFonts w:hint="eastAsia" w:ascii="仿宋_GB2312" w:hAnsi="宋体" w:eastAsia="仿宋_GB2312"/>
          <w:color w:val="auto"/>
          <w:sz w:val="24"/>
          <w:highlight w:val="none"/>
          <w:lang w:val="en-US" w:eastAsia="zh-CN"/>
        </w:rPr>
        <w:t>（</w:t>
      </w:r>
      <w:r>
        <w:rPr>
          <w:rFonts w:hint="default" w:ascii="仿宋_GB2312" w:hAnsi="宋体" w:eastAsia="仿宋_GB2312"/>
          <w:color w:val="auto"/>
          <w:sz w:val="24"/>
          <w:highlight w:val="none"/>
          <w:lang w:val="en-US" w:eastAsia="zh-CN"/>
        </w:rPr>
        <w:t>工业垃圾</w:t>
      </w:r>
      <w:r>
        <w:rPr>
          <w:rFonts w:hint="eastAsia" w:ascii="仿宋_GB2312" w:hAnsi="宋体" w:eastAsia="仿宋_GB2312"/>
          <w:color w:val="auto"/>
          <w:sz w:val="24"/>
          <w:highlight w:val="none"/>
          <w:lang w:val="en-US" w:eastAsia="zh-CN"/>
        </w:rPr>
        <w:t>）。</w:t>
      </w:r>
    </w:p>
    <w:p>
      <w:pPr>
        <w:numPr>
          <w:ilvl w:val="0"/>
          <w:numId w:val="0"/>
        </w:numPr>
        <w:jc w:val="left"/>
        <w:rPr>
          <w:rFonts w:hint="default" w:ascii="仿宋_GB2312" w:hAnsi="宋体" w:eastAsia="仿宋_GB2312"/>
          <w:color w:val="auto"/>
          <w:sz w:val="24"/>
          <w:highlight w:val="none"/>
          <w:lang w:val="en-US" w:eastAsia="zh-CN"/>
        </w:rPr>
      </w:pPr>
    </w:p>
    <w:p>
      <w:pPr>
        <w:numPr>
          <w:ilvl w:val="0"/>
          <w:numId w:val="0"/>
        </w:numPr>
        <w:rPr>
          <w:rFonts w:hint="default"/>
          <w:color w:val="auto"/>
          <w:highlight w:val="none"/>
          <w:lang w:val="en-US" w:eastAsia="zh-CN"/>
        </w:rPr>
      </w:pPr>
    </w:p>
    <w:sectPr>
      <w:footerReference r:id="rId4" w:type="first"/>
      <w:footerReference r:id="rId3"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_x0004_耝.吀">
    <w:altName w:val="黑体"/>
    <w:panose1 w:val="00000000000000000000"/>
    <w:charset w:val="86"/>
    <w:family w:val="swiss"/>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C79008"/>
    <w:multiLevelType w:val="singleLevel"/>
    <w:tmpl w:val="99C79008"/>
    <w:lvl w:ilvl="0" w:tentative="0">
      <w:start w:val="4"/>
      <w:numFmt w:val="chineseCounting"/>
      <w:suff w:val="space"/>
      <w:lvlText w:val="%1、"/>
      <w:lvlJc w:val="left"/>
      <w:rPr>
        <w:rFonts w:hint="eastAsia"/>
      </w:rPr>
    </w:lvl>
  </w:abstractNum>
  <w:abstractNum w:abstractNumId="1">
    <w:nsid w:val="AB3BBD8D"/>
    <w:multiLevelType w:val="singleLevel"/>
    <w:tmpl w:val="AB3BBD8D"/>
    <w:lvl w:ilvl="0" w:tentative="0">
      <w:start w:val="1"/>
      <w:numFmt w:val="decimal"/>
      <w:lvlText w:val="%1."/>
      <w:lvlJc w:val="left"/>
      <w:pPr>
        <w:tabs>
          <w:tab w:val="left" w:pos="312"/>
        </w:tabs>
      </w:pPr>
    </w:lvl>
  </w:abstractNum>
  <w:abstractNum w:abstractNumId="2">
    <w:nsid w:val="B7AB6661"/>
    <w:multiLevelType w:val="singleLevel"/>
    <w:tmpl w:val="B7AB6661"/>
    <w:lvl w:ilvl="0" w:tentative="0">
      <w:start w:val="1"/>
      <w:numFmt w:val="decimal"/>
      <w:lvlText w:val="%1."/>
      <w:lvlJc w:val="left"/>
      <w:pPr>
        <w:tabs>
          <w:tab w:val="left" w:pos="312"/>
        </w:tabs>
      </w:pPr>
    </w:lvl>
  </w:abstractNum>
  <w:abstractNum w:abstractNumId="3">
    <w:nsid w:val="C0B440CE"/>
    <w:multiLevelType w:val="singleLevel"/>
    <w:tmpl w:val="C0B440CE"/>
    <w:lvl w:ilvl="0" w:tentative="0">
      <w:start w:val="1"/>
      <w:numFmt w:val="decimal"/>
      <w:lvlText w:val="%1."/>
      <w:lvlJc w:val="left"/>
      <w:pPr>
        <w:tabs>
          <w:tab w:val="left" w:pos="312"/>
        </w:tabs>
      </w:pPr>
    </w:lvl>
  </w:abstractNum>
  <w:abstractNum w:abstractNumId="4">
    <w:nsid w:val="1518F88E"/>
    <w:multiLevelType w:val="singleLevel"/>
    <w:tmpl w:val="1518F88E"/>
    <w:lvl w:ilvl="0" w:tentative="0">
      <w:start w:val="1"/>
      <w:numFmt w:val="decimal"/>
      <w:lvlText w:val="%1."/>
      <w:lvlJc w:val="left"/>
      <w:pPr>
        <w:tabs>
          <w:tab w:val="left" w:pos="312"/>
        </w:tabs>
      </w:pPr>
    </w:lvl>
  </w:abstractNum>
  <w:abstractNum w:abstractNumId="5">
    <w:nsid w:val="3231E970"/>
    <w:multiLevelType w:val="singleLevel"/>
    <w:tmpl w:val="3231E970"/>
    <w:lvl w:ilvl="0" w:tentative="0">
      <w:start w:val="1"/>
      <w:numFmt w:val="decimal"/>
      <w:lvlText w:val="%1."/>
      <w:lvlJc w:val="left"/>
      <w:pPr>
        <w:tabs>
          <w:tab w:val="left" w:pos="312"/>
        </w:tabs>
      </w:pPr>
    </w:lvl>
  </w:abstractNum>
  <w:abstractNum w:abstractNumId="6">
    <w:nsid w:val="69671A46"/>
    <w:multiLevelType w:val="singleLevel"/>
    <w:tmpl w:val="69671A46"/>
    <w:lvl w:ilvl="0" w:tentative="0">
      <w:start w:val="1"/>
      <w:numFmt w:val="chineseCounting"/>
      <w:suff w:val="nothing"/>
      <w:lvlText w:val="%1、"/>
      <w:lvlJc w:val="left"/>
      <w:rPr>
        <w:rFonts w:hint="eastAsia"/>
      </w:rPr>
    </w:lvl>
  </w:abstractNum>
  <w:abstractNum w:abstractNumId="7">
    <w:nsid w:val="787E4DBA"/>
    <w:multiLevelType w:val="multilevel"/>
    <w:tmpl w:val="787E4DB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3"/>
  </w:num>
  <w:num w:numId="4">
    <w:abstractNumId w:val="7"/>
  </w:num>
  <w:num w:numId="5">
    <w:abstractNumId w:val="1"/>
  </w:num>
  <w:num w:numId="6">
    <w:abstractNumId w:val="2"/>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EA759C"/>
    <w:rsid w:val="016B18C7"/>
    <w:rsid w:val="02E669B5"/>
    <w:rsid w:val="03337CD1"/>
    <w:rsid w:val="03F111B0"/>
    <w:rsid w:val="04E21174"/>
    <w:rsid w:val="05402286"/>
    <w:rsid w:val="05D76D36"/>
    <w:rsid w:val="061E6A99"/>
    <w:rsid w:val="06903EDC"/>
    <w:rsid w:val="06F000A6"/>
    <w:rsid w:val="08276115"/>
    <w:rsid w:val="0851799E"/>
    <w:rsid w:val="09DC0971"/>
    <w:rsid w:val="0B362B41"/>
    <w:rsid w:val="0B9B7C2F"/>
    <w:rsid w:val="0C5D7AF8"/>
    <w:rsid w:val="0C962DE4"/>
    <w:rsid w:val="0C9D4B1C"/>
    <w:rsid w:val="0DB06B11"/>
    <w:rsid w:val="0DBA66D5"/>
    <w:rsid w:val="0DED0323"/>
    <w:rsid w:val="0F0A2E8B"/>
    <w:rsid w:val="0F811711"/>
    <w:rsid w:val="0FA124F9"/>
    <w:rsid w:val="10434549"/>
    <w:rsid w:val="113F6D0F"/>
    <w:rsid w:val="12D07C4A"/>
    <w:rsid w:val="13B75C3B"/>
    <w:rsid w:val="1464497A"/>
    <w:rsid w:val="14853C3D"/>
    <w:rsid w:val="14E963CA"/>
    <w:rsid w:val="161A4C71"/>
    <w:rsid w:val="181C11F1"/>
    <w:rsid w:val="194A781A"/>
    <w:rsid w:val="194C1D9F"/>
    <w:rsid w:val="1A380E0E"/>
    <w:rsid w:val="1CF51A6D"/>
    <w:rsid w:val="1D7262F1"/>
    <w:rsid w:val="1DD9003C"/>
    <w:rsid w:val="1E4F3225"/>
    <w:rsid w:val="1F0007B0"/>
    <w:rsid w:val="1F3B5629"/>
    <w:rsid w:val="1F4C01ED"/>
    <w:rsid w:val="20345DDA"/>
    <w:rsid w:val="21625C5A"/>
    <w:rsid w:val="21AF6920"/>
    <w:rsid w:val="23E53F76"/>
    <w:rsid w:val="2662459E"/>
    <w:rsid w:val="26CC216C"/>
    <w:rsid w:val="271475A6"/>
    <w:rsid w:val="278D4E60"/>
    <w:rsid w:val="27C84650"/>
    <w:rsid w:val="28B87989"/>
    <w:rsid w:val="2A8363C2"/>
    <w:rsid w:val="2BB027A6"/>
    <w:rsid w:val="2D215DAA"/>
    <w:rsid w:val="2D38767F"/>
    <w:rsid w:val="2D463872"/>
    <w:rsid w:val="2D476C44"/>
    <w:rsid w:val="2E231C3A"/>
    <w:rsid w:val="2EDD60E7"/>
    <w:rsid w:val="2F962873"/>
    <w:rsid w:val="2FE76608"/>
    <w:rsid w:val="30D00D76"/>
    <w:rsid w:val="31537A95"/>
    <w:rsid w:val="319C1606"/>
    <w:rsid w:val="32040E8F"/>
    <w:rsid w:val="33717740"/>
    <w:rsid w:val="33761D15"/>
    <w:rsid w:val="33A01D5E"/>
    <w:rsid w:val="34742490"/>
    <w:rsid w:val="36546887"/>
    <w:rsid w:val="36EF31DB"/>
    <w:rsid w:val="377B10C5"/>
    <w:rsid w:val="379E34BE"/>
    <w:rsid w:val="390C7966"/>
    <w:rsid w:val="3A544FBD"/>
    <w:rsid w:val="3A7B7E8B"/>
    <w:rsid w:val="3C0B02AC"/>
    <w:rsid w:val="3C202E2C"/>
    <w:rsid w:val="3C461DB4"/>
    <w:rsid w:val="3C860357"/>
    <w:rsid w:val="3D6A3FEF"/>
    <w:rsid w:val="3D753223"/>
    <w:rsid w:val="404D5D3C"/>
    <w:rsid w:val="410E6759"/>
    <w:rsid w:val="44DB4BA8"/>
    <w:rsid w:val="45490C54"/>
    <w:rsid w:val="45A66677"/>
    <w:rsid w:val="461A63B4"/>
    <w:rsid w:val="49690C37"/>
    <w:rsid w:val="497D7417"/>
    <w:rsid w:val="49904462"/>
    <w:rsid w:val="49CB4B6D"/>
    <w:rsid w:val="4A2F3261"/>
    <w:rsid w:val="4ADF02D8"/>
    <w:rsid w:val="4B295DB9"/>
    <w:rsid w:val="4C6E1F62"/>
    <w:rsid w:val="4F8361A4"/>
    <w:rsid w:val="4FC46178"/>
    <w:rsid w:val="4FCF24C5"/>
    <w:rsid w:val="5169257E"/>
    <w:rsid w:val="523F0045"/>
    <w:rsid w:val="52930B45"/>
    <w:rsid w:val="53DF6960"/>
    <w:rsid w:val="559039F6"/>
    <w:rsid w:val="570027BB"/>
    <w:rsid w:val="572D4A00"/>
    <w:rsid w:val="5740600E"/>
    <w:rsid w:val="58FE23D6"/>
    <w:rsid w:val="595A633A"/>
    <w:rsid w:val="5A1D67D4"/>
    <w:rsid w:val="5BFD1033"/>
    <w:rsid w:val="5E8F2D7C"/>
    <w:rsid w:val="5F140CE1"/>
    <w:rsid w:val="5FE86E48"/>
    <w:rsid w:val="60F4789F"/>
    <w:rsid w:val="617552C8"/>
    <w:rsid w:val="62061DD8"/>
    <w:rsid w:val="621A1B53"/>
    <w:rsid w:val="62371A63"/>
    <w:rsid w:val="62995E9B"/>
    <w:rsid w:val="63274DDA"/>
    <w:rsid w:val="638E1F8B"/>
    <w:rsid w:val="63DF28D0"/>
    <w:rsid w:val="647F2A6F"/>
    <w:rsid w:val="64CA2E67"/>
    <w:rsid w:val="65587268"/>
    <w:rsid w:val="65CC3EBA"/>
    <w:rsid w:val="66FC7D5C"/>
    <w:rsid w:val="67031E85"/>
    <w:rsid w:val="67C652A2"/>
    <w:rsid w:val="69A467F5"/>
    <w:rsid w:val="6AA00480"/>
    <w:rsid w:val="6AC21199"/>
    <w:rsid w:val="6B5B2E51"/>
    <w:rsid w:val="6BA601D6"/>
    <w:rsid w:val="6C37416F"/>
    <w:rsid w:val="6C7C133F"/>
    <w:rsid w:val="6CDC3BB5"/>
    <w:rsid w:val="6DC05F17"/>
    <w:rsid w:val="6DE13F6A"/>
    <w:rsid w:val="6E0660A9"/>
    <w:rsid w:val="6E961FF9"/>
    <w:rsid w:val="6EDE4C84"/>
    <w:rsid w:val="6F924BBE"/>
    <w:rsid w:val="709F3C73"/>
    <w:rsid w:val="72E44867"/>
    <w:rsid w:val="73AC4457"/>
    <w:rsid w:val="73B56355"/>
    <w:rsid w:val="74092AF2"/>
    <w:rsid w:val="7507405D"/>
    <w:rsid w:val="76197AE2"/>
    <w:rsid w:val="77077C79"/>
    <w:rsid w:val="77AC2FC0"/>
    <w:rsid w:val="77E2709C"/>
    <w:rsid w:val="787376BC"/>
    <w:rsid w:val="79F1187A"/>
    <w:rsid w:val="7A3274C2"/>
    <w:rsid w:val="7A735F11"/>
    <w:rsid w:val="7C974508"/>
    <w:rsid w:val="7DBF6967"/>
    <w:rsid w:val="7DC10E96"/>
    <w:rsid w:val="7E893773"/>
    <w:rsid w:val="7F79298A"/>
    <w:rsid w:val="7F872055"/>
    <w:rsid w:val="7FB60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Default"/>
    <w:unhideWhenUsed/>
    <w:qFormat/>
    <w:uiPriority w:val="99"/>
    <w:pPr>
      <w:widowControl w:val="0"/>
      <w:autoSpaceDE w:val="0"/>
      <w:autoSpaceDN w:val="0"/>
      <w:adjustRightInd w:val="0"/>
      <w:spacing w:beforeLines="0" w:afterLines="0"/>
    </w:pPr>
    <w:rPr>
      <w:rFonts w:hint="eastAsia" w:ascii="黑体_x0004_耝.吀" w:hAnsi="黑体_x0004_耝.吀" w:eastAsia="黑体_x0004_耝.吀" w:cstheme="minorBidi"/>
      <w:color w:val="000000"/>
      <w:sz w:val="24"/>
    </w:rPr>
  </w:style>
  <w:style w:type="paragraph" w:customStyle="1" w:styleId="9">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88f4e0a-429c-490f-94cc-c39ee07409cc}"/>
        <w:style w:val=""/>
        <w:category>
          <w:name w:val="常规"/>
          <w:gallery w:val="placeholder"/>
        </w:category>
        <w:types>
          <w:type w:val="bbPlcHdr"/>
        </w:types>
        <w:behaviors>
          <w:behavior w:val="content"/>
        </w:behaviors>
        <w:description w:val=""/>
        <w:guid w:val="{f88f4e0a-429c-490f-94cc-c39ee07409cc}"/>
      </w:docPartPr>
      <w:docPartBody>
        <w:p>
          <w:r>
            <w:rPr>
              <w:color w:val="808080"/>
            </w:rPr>
            <w:t>单击此处输入文字。</w:t>
          </w:r>
        </w:p>
      </w:docPartBody>
    </w:docPart>
    <w:docPart>
      <w:docPartPr>
        <w:name w:val="{4df862c0-8db4-4730-b917-04310984e260}"/>
        <w:style w:val=""/>
        <w:category>
          <w:name w:val="常规"/>
          <w:gallery w:val="placeholder"/>
        </w:category>
        <w:types>
          <w:type w:val="bbPlcHdr"/>
        </w:types>
        <w:behaviors>
          <w:behavior w:val="content"/>
        </w:behaviors>
        <w:description w:val=""/>
        <w:guid w:val="{4df862c0-8db4-4730-b917-04310984e260}"/>
      </w:docPartPr>
      <w:docPartBody>
        <w:p>
          <w:r>
            <w:rPr>
              <w:color w:val="808080"/>
            </w:rPr>
            <w:t>单击此处输入文字。</w:t>
          </w:r>
        </w:p>
      </w:docPartBody>
    </w:docPart>
    <w:docPart>
      <w:docPartPr>
        <w:name w:val="{4ef79d4e-6d02-4b06-88ca-b42e5dcf08e3}"/>
        <w:style w:val=""/>
        <w:category>
          <w:name w:val="常规"/>
          <w:gallery w:val="placeholder"/>
        </w:category>
        <w:types>
          <w:type w:val="bbPlcHdr"/>
        </w:types>
        <w:behaviors>
          <w:behavior w:val="content"/>
        </w:behaviors>
        <w:description w:val=""/>
        <w:guid w:val="{4ef79d4e-6d02-4b06-88ca-b42e5dcf08e3}"/>
      </w:docPartPr>
      <w:docPartBody>
        <w:p>
          <w:r>
            <w:rPr>
              <w:color w:val="808080"/>
            </w:rPr>
            <w:t>单击此处输入文字。</w:t>
          </w:r>
        </w:p>
      </w:docPartBody>
    </w:docPart>
    <w:docPart>
      <w:docPartPr>
        <w:name w:val="{39d85ae9-6e6f-48e5-9066-bbc43176f8f6}"/>
        <w:style w:val=""/>
        <w:category>
          <w:name w:val="常规"/>
          <w:gallery w:val="placeholder"/>
        </w:category>
        <w:types>
          <w:type w:val="bbPlcHdr"/>
        </w:types>
        <w:behaviors>
          <w:behavior w:val="content"/>
        </w:behaviors>
        <w:description w:val=""/>
        <w:guid w:val="{39d85ae9-6e6f-48e5-9066-bbc43176f8f6}"/>
      </w:docPartPr>
      <w:docPartBody>
        <w:p>
          <w:r>
            <w:rPr>
              <w:color w:val="808080"/>
            </w:rPr>
            <w:t>单击此处输入文字。</w:t>
          </w:r>
        </w:p>
      </w:docPartBody>
    </w:docPart>
    <w:docPart>
      <w:docPartPr>
        <w:name w:val="{1300f9db-72e8-43ba-8ef4-f355ac86f526}"/>
        <w:style w:val=""/>
        <w:category>
          <w:name w:val="常规"/>
          <w:gallery w:val="placeholder"/>
        </w:category>
        <w:types>
          <w:type w:val="bbPlcHdr"/>
        </w:types>
        <w:behaviors>
          <w:behavior w:val="content"/>
        </w:behaviors>
        <w:description w:val=""/>
        <w:guid w:val="{1300f9db-72e8-43ba-8ef4-f355ac86f526}"/>
      </w:docPartPr>
      <w:docPartBody>
        <w:p>
          <w:r>
            <w:rPr>
              <w:color w:val="808080"/>
            </w:rPr>
            <w:t>单击此处输入文字。</w:t>
          </w:r>
        </w:p>
      </w:docPartBody>
    </w:docPart>
    <w:docPart>
      <w:docPartPr>
        <w:name w:val="{fe3be2c9-ab35-4e8a-b95e-4e58aff8ddd2}"/>
        <w:style w:val=""/>
        <w:category>
          <w:name w:val="常规"/>
          <w:gallery w:val="placeholder"/>
        </w:category>
        <w:types>
          <w:type w:val="bbPlcHdr"/>
        </w:types>
        <w:behaviors>
          <w:behavior w:val="content"/>
        </w:behaviors>
        <w:description w:val=""/>
        <w:guid w:val="{fe3be2c9-ab35-4e8a-b95e-4e58aff8ddd2}"/>
      </w:docPartPr>
      <w:docPartBody>
        <w:p>
          <w:r>
            <w:rPr>
              <w:color w:val="808080"/>
            </w:rPr>
            <w:t>单击此处输入文字。</w:t>
          </w:r>
        </w:p>
      </w:docPartBody>
    </w:docPart>
    <w:docPart>
      <w:docPartPr>
        <w:name w:val="{02cd5202-03fd-4c10-b4bd-80045ede9fe5}"/>
        <w:style w:val=""/>
        <w:category>
          <w:name w:val="常规"/>
          <w:gallery w:val="placeholder"/>
        </w:category>
        <w:types>
          <w:type w:val="bbPlcHdr"/>
        </w:types>
        <w:behaviors>
          <w:behavior w:val="content"/>
        </w:behaviors>
        <w:description w:val=""/>
        <w:guid w:val="{02cd5202-03fd-4c10-b4bd-80045ede9fe5}"/>
      </w:docPartPr>
      <w:docPartBody>
        <w:p>
          <w:r>
            <w:rPr>
              <w:color w:val="808080"/>
            </w:rPr>
            <w:t>单击此处输入文字。</w:t>
          </w:r>
        </w:p>
      </w:docPartBody>
    </w:docPart>
    <w:docPart>
      <w:docPartPr>
        <w:name w:val="{8bab5526-cef0-4840-a39e-49c6cced3b99}"/>
        <w:style w:val=""/>
        <w:category>
          <w:name w:val="常规"/>
          <w:gallery w:val="placeholder"/>
        </w:category>
        <w:types>
          <w:type w:val="bbPlcHdr"/>
        </w:types>
        <w:behaviors>
          <w:behavior w:val="content"/>
        </w:behaviors>
        <w:description w:val=""/>
        <w:guid w:val="{8bab5526-cef0-4840-a39e-49c6cced3b99}"/>
      </w:docPartPr>
      <w:docPartBody>
        <w:p>
          <w:r>
            <w:rPr>
              <w:color w:val="808080"/>
            </w:rPr>
            <w:t>单击此处输入文字。</w:t>
          </w:r>
        </w:p>
      </w:docPartBody>
    </w:docPart>
    <w:docPart>
      <w:docPartPr>
        <w:name w:val="{9c395c3c-d1c0-425a-a6b2-0b8f544a6da0}"/>
        <w:style w:val=""/>
        <w:category>
          <w:name w:val="常规"/>
          <w:gallery w:val="placeholder"/>
        </w:category>
        <w:types>
          <w:type w:val="bbPlcHdr"/>
        </w:types>
        <w:behaviors>
          <w:behavior w:val="content"/>
        </w:behaviors>
        <w:description w:val=""/>
        <w:guid w:val="{9c395c3c-d1c0-425a-a6b2-0b8f544a6da0}"/>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Office_11.8.6.11546_F1E327BC-269C-435d-A152-05C5408002CA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2021-09-06T01:38:00Z</dcterms:created>
  <dc:creator>Administrator</dc:creator>
  <cp:lastModifiedBy>彭春</cp:lastModifiedBy>
  <cp:lastPrinted>2021-10-27T03:53:00Z</cp:lastPrinted>
  <dcterms:modified xsi:type="dcterms:W3CDTF">2024-12-23T09:18:24Z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9B4C8E687F59419782E9AC49FD4BB070</vt:lpwstr>
  </property>
</Properties>
</file>