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40AD6">
      <w:pPr>
        <w:rPr>
          <w:rFonts w:hint="eastAsia"/>
          <w:lang w:val="en-US" w:eastAsia="zh-CN"/>
        </w:rPr>
      </w:pPr>
    </w:p>
    <w:p w14:paraId="27904B10">
      <w:pPr>
        <w:rPr>
          <w:rFonts w:hint="eastAsia"/>
          <w:lang w:val="en-US" w:eastAsia="zh-CN"/>
        </w:rPr>
      </w:pPr>
    </w:p>
    <w:p w14:paraId="1E7B36ED">
      <w:pPr>
        <w:jc w:val="center"/>
        <w:rPr>
          <w:rFonts w:hint="eastAsia"/>
          <w:b/>
          <w:bCs/>
          <w:sz w:val="48"/>
          <w:szCs w:val="56"/>
          <w:lang w:val="en-US" w:eastAsia="zh-CN"/>
        </w:rPr>
      </w:pPr>
    </w:p>
    <w:p w14:paraId="61583DD9">
      <w:pPr>
        <w:jc w:val="center"/>
        <w:rPr>
          <w:rFonts w:hint="eastAsia"/>
          <w:b/>
          <w:bCs/>
          <w:sz w:val="48"/>
          <w:szCs w:val="56"/>
          <w:lang w:val="en-US" w:eastAsia="zh-CN"/>
        </w:rPr>
      </w:pPr>
      <w:r>
        <w:rPr>
          <w:rFonts w:hint="eastAsia"/>
          <w:b/>
          <w:bCs/>
          <w:sz w:val="52"/>
          <w:szCs w:val="72"/>
          <w:lang w:val="en-US" w:eastAsia="zh-CN"/>
        </w:rPr>
        <w:t>四川泸州川南发电有限责任公司</w:t>
      </w:r>
    </w:p>
    <w:p w14:paraId="27930713">
      <w:pPr>
        <w:jc w:val="center"/>
        <w:rPr>
          <w:rFonts w:hint="eastAsia"/>
          <w:b/>
          <w:bCs/>
          <w:sz w:val="40"/>
          <w:szCs w:val="48"/>
          <w:lang w:val="en-US" w:eastAsia="zh-CN"/>
        </w:rPr>
      </w:pPr>
    </w:p>
    <w:p w14:paraId="53B06787">
      <w:pPr>
        <w:jc w:val="center"/>
        <w:rPr>
          <w:rFonts w:hint="eastAsia"/>
          <w:b/>
          <w:bCs/>
          <w:sz w:val="40"/>
          <w:szCs w:val="48"/>
          <w:lang w:val="en-US" w:eastAsia="zh-CN"/>
        </w:rPr>
      </w:pPr>
    </w:p>
    <w:p w14:paraId="6EC8A5A7">
      <w:pPr>
        <w:jc w:val="center"/>
        <w:rPr>
          <w:rFonts w:hint="eastAsia"/>
          <w:b/>
          <w:bCs/>
          <w:sz w:val="40"/>
          <w:szCs w:val="48"/>
          <w:lang w:val="en-US" w:eastAsia="zh-CN"/>
        </w:rPr>
      </w:pPr>
    </w:p>
    <w:p w14:paraId="0A0965C5">
      <w:pPr>
        <w:jc w:val="center"/>
        <w:rPr>
          <w:rFonts w:hint="eastAsia"/>
          <w:b/>
          <w:bCs/>
          <w:sz w:val="44"/>
          <w:szCs w:val="52"/>
          <w:lang w:val="en-US" w:eastAsia="zh-CN"/>
        </w:rPr>
      </w:pPr>
      <w:r>
        <w:rPr>
          <w:rFonts w:hint="eastAsia"/>
          <w:b/>
          <w:bCs/>
          <w:sz w:val="44"/>
          <w:szCs w:val="52"/>
          <w:lang w:val="en-US" w:eastAsia="zh-CN"/>
        </w:rPr>
        <w:t>汽车煤采样装置一体化改造</w:t>
      </w:r>
    </w:p>
    <w:p w14:paraId="1920B5C8">
      <w:pPr>
        <w:jc w:val="center"/>
        <w:rPr>
          <w:rFonts w:hint="eastAsia"/>
          <w:b/>
          <w:bCs/>
          <w:sz w:val="44"/>
          <w:szCs w:val="52"/>
          <w:lang w:val="en-US" w:eastAsia="zh-CN"/>
        </w:rPr>
      </w:pPr>
    </w:p>
    <w:p w14:paraId="7DE484BA">
      <w:pPr>
        <w:jc w:val="center"/>
        <w:rPr>
          <w:rFonts w:hint="eastAsia"/>
          <w:b/>
          <w:bCs/>
          <w:sz w:val="44"/>
          <w:szCs w:val="52"/>
          <w:lang w:val="en-US" w:eastAsia="zh-CN"/>
        </w:rPr>
      </w:pPr>
    </w:p>
    <w:p w14:paraId="2212F84F">
      <w:pPr>
        <w:jc w:val="center"/>
        <w:rPr>
          <w:rFonts w:hint="eastAsia"/>
          <w:b/>
          <w:bCs/>
          <w:sz w:val="44"/>
          <w:szCs w:val="52"/>
          <w:lang w:val="en-US" w:eastAsia="zh-CN"/>
        </w:rPr>
      </w:pPr>
      <w:r>
        <w:rPr>
          <w:rFonts w:hint="eastAsia"/>
          <w:b/>
          <w:bCs/>
          <w:sz w:val="44"/>
          <w:szCs w:val="52"/>
          <w:lang w:val="en-US" w:eastAsia="zh-CN"/>
        </w:rPr>
        <w:t>技术规范书</w:t>
      </w:r>
    </w:p>
    <w:p w14:paraId="422B2A4B">
      <w:pPr>
        <w:jc w:val="center"/>
        <w:rPr>
          <w:rFonts w:hint="eastAsia"/>
          <w:b/>
          <w:bCs/>
          <w:sz w:val="40"/>
          <w:szCs w:val="48"/>
          <w:lang w:val="en-US" w:eastAsia="zh-CN"/>
        </w:rPr>
      </w:pPr>
    </w:p>
    <w:p w14:paraId="662382F7">
      <w:pPr>
        <w:jc w:val="center"/>
        <w:rPr>
          <w:rFonts w:hint="eastAsia"/>
          <w:b/>
          <w:bCs/>
          <w:sz w:val="40"/>
          <w:szCs w:val="48"/>
          <w:lang w:val="en-US" w:eastAsia="zh-CN"/>
        </w:rPr>
      </w:pPr>
    </w:p>
    <w:p w14:paraId="53B88426">
      <w:pPr>
        <w:jc w:val="center"/>
        <w:rPr>
          <w:rFonts w:hint="eastAsia"/>
          <w:b/>
          <w:bCs/>
          <w:sz w:val="40"/>
          <w:szCs w:val="48"/>
          <w:lang w:val="en-US" w:eastAsia="zh-CN"/>
        </w:rPr>
      </w:pPr>
    </w:p>
    <w:p w14:paraId="0C21E372">
      <w:pPr>
        <w:jc w:val="center"/>
        <w:rPr>
          <w:rFonts w:hint="eastAsia"/>
          <w:b/>
          <w:bCs/>
          <w:sz w:val="40"/>
          <w:szCs w:val="48"/>
          <w:lang w:val="en-US" w:eastAsia="zh-CN"/>
        </w:rPr>
      </w:pPr>
    </w:p>
    <w:p w14:paraId="62945F6D">
      <w:pPr>
        <w:jc w:val="center"/>
        <w:rPr>
          <w:rFonts w:hint="eastAsia"/>
          <w:b/>
          <w:bCs/>
          <w:sz w:val="40"/>
          <w:szCs w:val="48"/>
          <w:lang w:val="en-US" w:eastAsia="zh-CN"/>
        </w:rPr>
      </w:pPr>
    </w:p>
    <w:p w14:paraId="18284DD7">
      <w:pPr>
        <w:jc w:val="center"/>
        <w:rPr>
          <w:rFonts w:hint="eastAsia"/>
          <w:b/>
          <w:bCs/>
          <w:sz w:val="40"/>
          <w:szCs w:val="48"/>
          <w:lang w:val="en-US" w:eastAsia="zh-CN"/>
        </w:rPr>
      </w:pPr>
    </w:p>
    <w:p w14:paraId="1AB907C3">
      <w:pPr>
        <w:jc w:val="center"/>
        <w:rPr>
          <w:rFonts w:hint="eastAsia"/>
          <w:b/>
          <w:bCs/>
          <w:sz w:val="40"/>
          <w:szCs w:val="48"/>
          <w:lang w:val="en-US" w:eastAsia="zh-CN"/>
        </w:rPr>
      </w:pPr>
    </w:p>
    <w:p w14:paraId="1DA0FBE4">
      <w:pPr>
        <w:jc w:val="center"/>
        <w:rPr>
          <w:rFonts w:hint="eastAsia"/>
          <w:b/>
          <w:bCs/>
          <w:sz w:val="40"/>
          <w:szCs w:val="48"/>
          <w:lang w:val="en-US" w:eastAsia="zh-CN"/>
        </w:rPr>
      </w:pPr>
    </w:p>
    <w:p w14:paraId="5C7CE5CA">
      <w:pPr>
        <w:jc w:val="center"/>
        <w:rPr>
          <w:rFonts w:hint="eastAsia"/>
          <w:b/>
          <w:bCs/>
          <w:sz w:val="40"/>
          <w:szCs w:val="48"/>
          <w:lang w:val="en-US" w:eastAsia="zh-CN"/>
        </w:rPr>
      </w:pPr>
      <w:r>
        <w:rPr>
          <w:rFonts w:hint="eastAsia"/>
          <w:b/>
          <w:bCs/>
          <w:sz w:val="40"/>
          <w:szCs w:val="48"/>
          <w:lang w:val="en-US" w:eastAsia="zh-CN"/>
        </w:rPr>
        <w:t>生产技术部</w:t>
      </w:r>
    </w:p>
    <w:p w14:paraId="60DDAE9B">
      <w:pPr>
        <w:jc w:val="center"/>
        <w:rPr>
          <w:rFonts w:hint="eastAsia"/>
          <w:b/>
          <w:bCs/>
          <w:sz w:val="32"/>
          <w:szCs w:val="40"/>
          <w:lang w:val="en-US" w:eastAsia="zh-CN"/>
        </w:rPr>
      </w:pPr>
      <w:r>
        <w:rPr>
          <w:rFonts w:hint="eastAsia"/>
          <w:b/>
          <w:bCs/>
          <w:sz w:val="40"/>
          <w:szCs w:val="48"/>
          <w:lang w:val="en-US" w:eastAsia="zh-CN"/>
        </w:rPr>
        <w:t>二零二五年十二月</w:t>
      </w:r>
    </w:p>
    <w:p w14:paraId="7532D8D2">
      <w:pPr>
        <w:jc w:val="center"/>
        <w:rPr>
          <w:rFonts w:hint="eastAsia"/>
          <w:b/>
          <w:bCs/>
          <w:sz w:val="28"/>
          <w:szCs w:val="36"/>
          <w:lang w:val="en-US" w:eastAsia="zh-CN"/>
        </w:rPr>
      </w:pPr>
      <w:r>
        <w:rPr>
          <w:rFonts w:hint="eastAsia"/>
          <w:b/>
          <w:bCs/>
          <w:sz w:val="28"/>
          <w:szCs w:val="36"/>
          <w:lang w:val="en-US" w:eastAsia="zh-CN"/>
        </w:rPr>
        <w:t>汽车煤采样装置一体化改造</w:t>
      </w:r>
    </w:p>
    <w:p w14:paraId="626A01B1">
      <w:pPr>
        <w:jc w:val="center"/>
        <w:rPr>
          <w:rFonts w:hint="eastAsia"/>
          <w:b/>
          <w:bCs/>
          <w:sz w:val="28"/>
          <w:szCs w:val="36"/>
          <w:u w:val="none"/>
          <w:lang w:val="en-US" w:eastAsia="zh-CN"/>
        </w:rPr>
      </w:pPr>
      <w:r>
        <w:rPr>
          <w:rFonts w:hint="eastAsia"/>
          <w:b/>
          <w:bCs/>
          <w:sz w:val="28"/>
          <w:szCs w:val="36"/>
          <w:u w:val="none"/>
          <w:lang w:val="en-US" w:eastAsia="zh-CN"/>
        </w:rPr>
        <w:t>技术规范书</w:t>
      </w:r>
    </w:p>
    <w:p w14:paraId="78312F8E">
      <w:pPr>
        <w:numPr>
          <w:ilvl w:val="0"/>
          <w:numId w:val="2"/>
        </w:numPr>
        <w:jc w:val="both"/>
        <w:rPr>
          <w:rFonts w:hint="eastAsia"/>
          <w:b/>
          <w:bCs/>
          <w:color w:val="auto"/>
          <w:sz w:val="30"/>
          <w:szCs w:val="30"/>
          <w:u w:val="none"/>
          <w:lang w:val="en-US" w:eastAsia="zh-CN"/>
        </w:rPr>
      </w:pPr>
      <w:r>
        <w:rPr>
          <w:rFonts w:hint="eastAsia"/>
          <w:b/>
          <w:bCs/>
          <w:color w:val="auto"/>
          <w:sz w:val="30"/>
          <w:szCs w:val="30"/>
          <w:u w:val="none"/>
          <w:lang w:val="en-US" w:eastAsia="zh-CN"/>
        </w:rPr>
        <w:t>总则</w:t>
      </w:r>
    </w:p>
    <w:p w14:paraId="1AC227F8">
      <w:pPr>
        <w:numPr>
          <w:ilvl w:val="0"/>
          <w:numId w:val="0"/>
        </w:numPr>
        <w:tabs>
          <w:tab w:val="left" w:pos="420"/>
        </w:tabs>
        <w:snapToGrid w:val="0"/>
        <w:spacing w:line="360" w:lineRule="auto"/>
        <w:rPr>
          <w:rFonts w:hint="eastAsia"/>
          <w:sz w:val="24"/>
          <w:highlight w:val="none"/>
          <w:lang w:val="en-US" w:eastAsia="zh-CN"/>
        </w:rPr>
      </w:pPr>
      <w:r>
        <w:rPr>
          <w:rFonts w:hint="eastAsia"/>
          <w:sz w:val="24"/>
          <w:lang w:val="en-US" w:eastAsia="zh-CN"/>
        </w:rPr>
        <w:t>1、本技术规范书适用于四川泸州川南发电有限责任公司2×600MW机组的汽车煤采样装置</w:t>
      </w:r>
      <w:r>
        <w:rPr>
          <w:rFonts w:hint="eastAsia"/>
          <w:sz w:val="24"/>
          <w:highlight w:val="none"/>
          <w:lang w:val="en-US" w:eastAsia="zh-CN"/>
        </w:rPr>
        <w:t>一体化改造工程项目，本项目采用工程总承包模式，响应人范围包括但不限于设计、供货、土建施工、安装施工、试验、调试、培训、验收资料移交等内容。它提出了设备的功能设计、结构、性能、安装和试验等方面的技术要求，解释权归采购人。</w:t>
      </w:r>
    </w:p>
    <w:p w14:paraId="6E16D0A2">
      <w:pPr>
        <w:numPr>
          <w:ilvl w:val="0"/>
          <w:numId w:val="0"/>
        </w:numPr>
        <w:tabs>
          <w:tab w:val="left" w:pos="420"/>
        </w:tabs>
        <w:snapToGrid w:val="0"/>
        <w:spacing w:line="360" w:lineRule="auto"/>
        <w:rPr>
          <w:rFonts w:hint="eastAsia"/>
          <w:sz w:val="24"/>
          <w:highlight w:val="none"/>
          <w:lang w:val="en-US" w:eastAsia="zh-CN"/>
        </w:rPr>
      </w:pPr>
      <w:r>
        <w:rPr>
          <w:rFonts w:hint="eastAsia"/>
          <w:sz w:val="24"/>
          <w:highlight w:val="none"/>
          <w:lang w:val="en-US" w:eastAsia="zh-CN"/>
        </w:rPr>
        <w:t>2、响应人的资质要求：</w:t>
      </w:r>
    </w:p>
    <w:p w14:paraId="138F3EB5">
      <w:pPr>
        <w:numPr>
          <w:ilvl w:val="0"/>
          <w:numId w:val="0"/>
        </w:numPr>
        <w:tabs>
          <w:tab w:val="left" w:pos="420"/>
        </w:tabs>
        <w:snapToGrid w:val="0"/>
        <w:spacing w:line="360" w:lineRule="auto"/>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rPr>
        <w:t>）</w:t>
      </w:r>
      <w:r>
        <w:rPr>
          <w:rFonts w:hint="eastAsia"/>
          <w:sz w:val="24"/>
          <w:highlight w:val="none"/>
          <w:lang w:val="en-US" w:eastAsia="zh-CN"/>
        </w:rPr>
        <w:t>响应人为依法注册的独立法人或其他组织，</w:t>
      </w:r>
      <w:r>
        <w:rPr>
          <w:rFonts w:hint="eastAsia"/>
          <w:sz w:val="24"/>
          <w:highlight w:val="none"/>
          <w:lang w:val="en-US" w:eastAsia="zh"/>
        </w:rPr>
        <w:t>并</w:t>
      </w:r>
      <w:r>
        <w:rPr>
          <w:rFonts w:hint="eastAsia"/>
          <w:sz w:val="24"/>
          <w:highlight w:val="none"/>
          <w:lang w:val="en-US" w:eastAsia="zh-CN"/>
        </w:rPr>
        <w:t>提供有效的证明文件；</w:t>
      </w:r>
    </w:p>
    <w:p w14:paraId="01C469DA">
      <w:pPr>
        <w:numPr>
          <w:ilvl w:val="0"/>
          <w:numId w:val="0"/>
        </w:numPr>
        <w:tabs>
          <w:tab w:val="left" w:pos="420"/>
        </w:tabs>
        <w:snapToGrid w:val="0"/>
        <w:spacing w:line="360" w:lineRule="auto"/>
        <w:rPr>
          <w:rFonts w:hint="default"/>
          <w:sz w:val="24"/>
          <w:highlight w:val="none"/>
          <w:lang w:val="en-US" w:eastAsia="zh-CN"/>
        </w:rPr>
      </w:pPr>
      <w:r>
        <w:rPr>
          <w:rFonts w:hint="eastAsia"/>
          <w:sz w:val="24"/>
          <w:highlight w:val="none"/>
          <w:lang w:val="en-US" w:eastAsia="zh-CN"/>
        </w:rPr>
        <w:t>（2）响应人</w:t>
      </w:r>
      <w:r>
        <w:rPr>
          <w:rFonts w:hint="default"/>
          <w:sz w:val="24"/>
          <w:highlight w:val="none"/>
          <w:lang w:val="en-US" w:eastAsia="zh-CN"/>
        </w:rPr>
        <w:t>具有并提供有效的机电工程施工总承包</w:t>
      </w:r>
      <w:r>
        <w:rPr>
          <w:rFonts w:hint="eastAsia"/>
          <w:sz w:val="24"/>
          <w:highlight w:val="none"/>
          <w:lang w:val="en-US" w:eastAsia="zh-CN"/>
        </w:rPr>
        <w:t>三</w:t>
      </w:r>
      <w:r>
        <w:rPr>
          <w:rFonts w:hint="default"/>
          <w:sz w:val="24"/>
          <w:highlight w:val="none"/>
          <w:lang w:val="en-US" w:eastAsia="zh-CN"/>
        </w:rPr>
        <w:t>级及以上</w:t>
      </w:r>
      <w:r>
        <w:rPr>
          <w:rFonts w:hint="eastAsia"/>
          <w:sz w:val="24"/>
          <w:highlight w:val="none"/>
          <w:lang w:val="en-US" w:eastAsia="zh-CN"/>
        </w:rPr>
        <w:t>或电力工程施工总承包二级及以上</w:t>
      </w:r>
      <w:r>
        <w:rPr>
          <w:rFonts w:hint="default"/>
          <w:sz w:val="24"/>
          <w:highlight w:val="none"/>
          <w:lang w:val="en-US" w:eastAsia="zh-CN"/>
        </w:rPr>
        <w:t>资质；</w:t>
      </w:r>
    </w:p>
    <w:p w14:paraId="63332729">
      <w:pPr>
        <w:numPr>
          <w:ilvl w:val="0"/>
          <w:numId w:val="0"/>
        </w:numPr>
        <w:tabs>
          <w:tab w:val="left" w:pos="420"/>
        </w:tabs>
        <w:snapToGrid w:val="0"/>
        <w:spacing w:line="360" w:lineRule="auto"/>
        <w:rPr>
          <w:rFonts w:hint="eastAsia"/>
          <w:sz w:val="24"/>
          <w:highlight w:val="none"/>
          <w:lang w:val="en-US" w:eastAsia="zh-CN"/>
        </w:rPr>
      </w:pPr>
      <w:r>
        <w:rPr>
          <w:rFonts w:hint="eastAsia"/>
          <w:sz w:val="24"/>
          <w:highlight w:val="none"/>
          <w:lang w:val="en-US" w:eastAsia="zh-CN"/>
        </w:rPr>
        <w:t>（3）响应人具有并提供有效的安全生产许可证资质证书。</w:t>
      </w:r>
    </w:p>
    <w:p w14:paraId="793C041F">
      <w:pPr>
        <w:numPr>
          <w:ilvl w:val="0"/>
          <w:numId w:val="0"/>
        </w:numPr>
        <w:tabs>
          <w:tab w:val="left" w:pos="420"/>
        </w:tabs>
        <w:snapToGrid w:val="0"/>
        <w:spacing w:line="360" w:lineRule="auto"/>
        <w:rPr>
          <w:rFonts w:hint="eastAsia"/>
          <w:sz w:val="24"/>
          <w:highlight w:val="none"/>
          <w:lang w:val="en-US" w:eastAsia="zh-CN"/>
        </w:rPr>
      </w:pPr>
      <w:r>
        <w:rPr>
          <w:rFonts w:hint="eastAsia"/>
          <w:sz w:val="24"/>
          <w:highlight w:val="none"/>
          <w:lang w:val="en-US" w:eastAsia="zh-CN"/>
        </w:rPr>
        <w:t>3、对响应人的业绩要求：</w:t>
      </w:r>
    </w:p>
    <w:p w14:paraId="6767453B">
      <w:pPr>
        <w:numPr>
          <w:ilvl w:val="0"/>
          <w:numId w:val="0"/>
        </w:numPr>
        <w:tabs>
          <w:tab w:val="left" w:pos="420"/>
        </w:tabs>
        <w:snapToGrid w:val="0"/>
        <w:spacing w:line="360" w:lineRule="auto"/>
        <w:ind w:firstLine="480" w:firstLineChars="200"/>
        <w:rPr>
          <w:rFonts w:hint="default"/>
          <w:sz w:val="24"/>
          <w:highlight w:val="none"/>
          <w:lang w:val="en-US" w:eastAsia="zh-CN"/>
        </w:rPr>
      </w:pPr>
      <w:r>
        <w:rPr>
          <w:rFonts w:hint="default"/>
          <w:sz w:val="24"/>
          <w:highlight w:val="none"/>
          <w:lang w:val="en-US" w:eastAsia="zh-CN"/>
        </w:rPr>
        <w:t>2020年</w:t>
      </w:r>
      <w:r>
        <w:rPr>
          <w:rFonts w:hint="eastAsia"/>
          <w:sz w:val="24"/>
          <w:highlight w:val="none"/>
          <w:lang w:val="en-US" w:eastAsia="zh-CN"/>
        </w:rPr>
        <w:t>1</w:t>
      </w:r>
      <w:r>
        <w:rPr>
          <w:rFonts w:hint="default"/>
          <w:sz w:val="24"/>
          <w:highlight w:val="none"/>
          <w:lang w:val="en-US" w:eastAsia="zh-CN"/>
        </w:rPr>
        <w:t>月01日至投标截止日（以合同签订日期为准），</w:t>
      </w:r>
      <w:r>
        <w:rPr>
          <w:rFonts w:hint="eastAsia"/>
          <w:sz w:val="24"/>
          <w:highlight w:val="none"/>
          <w:lang w:val="en-US" w:eastAsia="zh-CN"/>
        </w:rPr>
        <w:t>响应人</w:t>
      </w:r>
      <w:r>
        <w:rPr>
          <w:rFonts w:hint="default"/>
          <w:sz w:val="24"/>
          <w:highlight w:val="none"/>
          <w:lang w:val="en-US" w:eastAsia="zh-CN"/>
        </w:rPr>
        <w:t>须至少具有</w:t>
      </w:r>
      <w:r>
        <w:rPr>
          <w:rFonts w:hint="eastAsia"/>
          <w:sz w:val="24"/>
          <w:highlight w:val="none"/>
          <w:lang w:val="en-US" w:eastAsia="zh-CN"/>
        </w:rPr>
        <w:t>3</w:t>
      </w:r>
      <w:r>
        <w:rPr>
          <w:rFonts w:hint="default"/>
          <w:sz w:val="24"/>
          <w:highlight w:val="none"/>
          <w:lang w:val="en-US" w:eastAsia="zh-CN"/>
        </w:rPr>
        <w:t>个国内火力发电机组</w:t>
      </w:r>
      <w:r>
        <w:rPr>
          <w:rFonts w:hint="eastAsia"/>
          <w:sz w:val="24"/>
          <w:highlight w:val="none"/>
          <w:lang w:val="en-US" w:eastAsia="zh-CN"/>
        </w:rPr>
        <w:t>已投运的入厂煤智能验收项目、</w:t>
      </w:r>
      <w:r>
        <w:rPr>
          <w:rFonts w:hint="default"/>
          <w:sz w:val="24"/>
          <w:highlight w:val="none"/>
          <w:lang w:val="en-US" w:eastAsia="zh-CN"/>
        </w:rPr>
        <w:t>燃料智能化系统改造</w:t>
      </w:r>
      <w:r>
        <w:rPr>
          <w:rFonts w:hint="eastAsia"/>
          <w:sz w:val="24"/>
          <w:highlight w:val="none"/>
          <w:lang w:val="en-US" w:eastAsia="zh-CN"/>
        </w:rPr>
        <w:t>总承包</w:t>
      </w:r>
      <w:r>
        <w:rPr>
          <w:rFonts w:hint="default"/>
          <w:sz w:val="24"/>
          <w:highlight w:val="none"/>
          <w:lang w:val="en-US" w:eastAsia="zh-CN"/>
        </w:rPr>
        <w:t>合同业绩。</w:t>
      </w:r>
      <w:r>
        <w:rPr>
          <w:rFonts w:hint="eastAsia"/>
          <w:sz w:val="24"/>
          <w:highlight w:val="none"/>
          <w:lang w:val="en-US" w:eastAsia="zh-CN"/>
        </w:rPr>
        <w:t>响应人</w:t>
      </w:r>
      <w:r>
        <w:rPr>
          <w:rFonts w:hint="default"/>
          <w:sz w:val="24"/>
          <w:highlight w:val="none"/>
          <w:lang w:val="en-US" w:eastAsia="zh-CN"/>
        </w:rPr>
        <w:t>须提供能证明本次招标业绩要求的合同和对应的用户证明扫描件，合同扫描件须至少包含：合同买卖双方盖章页、合同签订时间和业绩要求中的关键信息页；用户证明须由最终用户盖章，可以是验收证明、使用证明、回访记录或其他能证明合同标的物的材料</w:t>
      </w:r>
      <w:r>
        <w:rPr>
          <w:rFonts w:hint="eastAsia"/>
          <w:sz w:val="24"/>
          <w:highlight w:val="none"/>
          <w:lang w:val="en-US" w:eastAsia="zh-CN"/>
        </w:rPr>
        <w:t>。</w:t>
      </w:r>
    </w:p>
    <w:p w14:paraId="0D63241E">
      <w:pPr>
        <w:numPr>
          <w:ilvl w:val="0"/>
          <w:numId w:val="0"/>
        </w:numPr>
        <w:tabs>
          <w:tab w:val="left" w:pos="420"/>
        </w:tabs>
        <w:snapToGrid w:val="0"/>
        <w:spacing w:line="360" w:lineRule="auto"/>
        <w:rPr>
          <w:rFonts w:hint="eastAsia"/>
          <w:sz w:val="24"/>
          <w:highlight w:val="none"/>
          <w:lang w:val="en-US" w:eastAsia="zh-CN"/>
        </w:rPr>
      </w:pPr>
      <w:r>
        <w:rPr>
          <w:rFonts w:hint="eastAsia"/>
          <w:sz w:val="24"/>
          <w:highlight w:val="none"/>
          <w:lang w:val="en-US" w:eastAsia="zh"/>
          <w:woUserID w:val="1"/>
        </w:rPr>
        <w:t>4</w:t>
      </w:r>
      <w:r>
        <w:rPr>
          <w:rFonts w:hint="eastAsia"/>
          <w:sz w:val="24"/>
          <w:highlight w:val="none"/>
          <w:lang w:val="en-US" w:eastAsia="zh-CN"/>
        </w:rPr>
        <w:t>、本技术规范书提出了最低的技术标准，并未对一切技术细节作出规定，也未充分引述有关标准和规范条文，响应人应提供满足本技术规范书提出的技术标准及符合国家或行业标准要求的高质量的设计、供货、施工及其相应的服务,当标准有冲突时，按较高标准执行。还应符合国家有关工程质量、安全、卫生、消防、环保等方面的强制性标准条文的规定。响应人必须保证提供符合本技术规范书和相关的国际、国内工业标准的优质产品。</w:t>
      </w:r>
    </w:p>
    <w:p w14:paraId="352EDC0E">
      <w:pPr>
        <w:numPr>
          <w:ilvl w:val="0"/>
          <w:numId w:val="0"/>
        </w:numPr>
        <w:tabs>
          <w:tab w:val="left" w:pos="420"/>
        </w:tabs>
        <w:snapToGrid w:val="0"/>
        <w:spacing w:line="360" w:lineRule="auto"/>
        <w:rPr>
          <w:rFonts w:hint="eastAsia"/>
          <w:sz w:val="24"/>
          <w:highlight w:val="none"/>
        </w:rPr>
      </w:pPr>
      <w:r>
        <w:rPr>
          <w:rFonts w:hint="eastAsia"/>
          <w:sz w:val="24"/>
          <w:highlight w:val="none"/>
          <w:lang w:val="en-US" w:eastAsia="zh"/>
          <w:woUserID w:val="1"/>
        </w:rPr>
        <w:t>5</w:t>
      </w:r>
      <w:r>
        <w:rPr>
          <w:rFonts w:hint="eastAsia"/>
          <w:sz w:val="24"/>
          <w:highlight w:val="none"/>
          <w:lang w:val="en-US" w:eastAsia="zh-CN"/>
        </w:rPr>
        <w:t>、响应人对采购人汽车煤采样装置一体化改造工程项目</w:t>
      </w:r>
      <w:r>
        <w:rPr>
          <w:rFonts w:hint="eastAsia"/>
          <w:sz w:val="24"/>
          <w:highlight w:val="none"/>
        </w:rPr>
        <w:t>负有全责，即包括分包（或采购）的产品。分包（或采购）的产品制造商应事先征得</w:t>
      </w:r>
      <w:r>
        <w:rPr>
          <w:rFonts w:hint="eastAsia"/>
          <w:sz w:val="24"/>
          <w:highlight w:val="none"/>
          <w:lang w:val="en-US" w:eastAsia="zh-CN"/>
        </w:rPr>
        <w:t>采购人</w:t>
      </w:r>
      <w:r>
        <w:rPr>
          <w:rFonts w:hint="eastAsia"/>
          <w:sz w:val="24"/>
          <w:highlight w:val="none"/>
        </w:rPr>
        <w:t>的认可。</w:t>
      </w:r>
    </w:p>
    <w:p w14:paraId="38AD0A65">
      <w:pPr>
        <w:numPr>
          <w:ilvl w:val="0"/>
          <w:numId w:val="0"/>
        </w:numPr>
        <w:tabs>
          <w:tab w:val="left" w:pos="420"/>
        </w:tabs>
        <w:snapToGrid w:val="0"/>
        <w:spacing w:line="360" w:lineRule="auto"/>
        <w:ind w:leftChars="0"/>
        <w:rPr>
          <w:rFonts w:hint="eastAsia"/>
          <w:sz w:val="24"/>
          <w:highlight w:val="none"/>
        </w:rPr>
      </w:pPr>
      <w:r>
        <w:rPr>
          <w:rFonts w:hint="eastAsia"/>
          <w:sz w:val="24"/>
          <w:highlight w:val="none"/>
          <w:lang w:val="en-US" w:eastAsia="zh"/>
          <w:woUserID w:val="1"/>
        </w:rPr>
        <w:t>6</w:t>
      </w:r>
      <w:r>
        <w:rPr>
          <w:rFonts w:hint="eastAsia"/>
          <w:sz w:val="24"/>
          <w:highlight w:val="none"/>
          <w:lang w:val="en-US" w:eastAsia="zh-CN"/>
        </w:rPr>
        <w:t>、响应人</w:t>
      </w:r>
      <w:r>
        <w:rPr>
          <w:rFonts w:hint="eastAsia"/>
          <w:sz w:val="24"/>
          <w:highlight w:val="none"/>
        </w:rPr>
        <w:t>负责</w:t>
      </w:r>
      <w:r>
        <w:rPr>
          <w:rFonts w:hint="eastAsia"/>
          <w:sz w:val="24"/>
          <w:highlight w:val="none"/>
          <w:lang w:val="en-US" w:eastAsia="zh-CN"/>
        </w:rPr>
        <w:t>汽车煤采样装置一体化改造工程</w:t>
      </w:r>
      <w:r>
        <w:rPr>
          <w:rFonts w:hint="eastAsia"/>
          <w:sz w:val="24"/>
          <w:highlight w:val="none"/>
        </w:rPr>
        <w:t>的设计、制造、供货、安装、调试</w:t>
      </w:r>
      <w:r>
        <w:rPr>
          <w:rFonts w:hint="eastAsia"/>
          <w:sz w:val="24"/>
          <w:highlight w:val="none"/>
          <w:lang w:eastAsia="zh-CN"/>
        </w:rPr>
        <w:t>（</w:t>
      </w:r>
      <w:r>
        <w:rPr>
          <w:rFonts w:hint="eastAsia"/>
          <w:sz w:val="24"/>
          <w:highlight w:val="none"/>
          <w:lang w:val="en-US" w:eastAsia="zh-CN"/>
        </w:rPr>
        <w:t>且但不限于改造设备旧件的拆除、转运至指定地点，土建施工、安全文明施工等</w:t>
      </w:r>
      <w:r>
        <w:rPr>
          <w:rFonts w:hint="eastAsia"/>
          <w:sz w:val="24"/>
          <w:highlight w:val="none"/>
          <w:lang w:eastAsia="zh-CN"/>
        </w:rPr>
        <w:t>）</w:t>
      </w:r>
      <w:r>
        <w:rPr>
          <w:rFonts w:hint="eastAsia"/>
          <w:sz w:val="24"/>
          <w:highlight w:val="none"/>
        </w:rPr>
        <w:t>。</w:t>
      </w:r>
    </w:p>
    <w:p w14:paraId="65F074EA">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
          <w:woUserID w:val="1"/>
        </w:rPr>
        <w:t>7</w:t>
      </w:r>
      <w:r>
        <w:rPr>
          <w:rFonts w:hint="eastAsia"/>
          <w:sz w:val="24"/>
          <w:highlight w:val="none"/>
          <w:lang w:val="en-US" w:eastAsia="zh-CN"/>
        </w:rPr>
        <w:t>、</w:t>
      </w:r>
      <w:r>
        <w:rPr>
          <w:rFonts w:hint="eastAsia"/>
          <w:sz w:val="24"/>
          <w:highlight w:val="none"/>
          <w:lang w:val="en-US" w:eastAsia="zh-CN"/>
          <w:woUserID w:val="1"/>
        </w:rPr>
        <w:t>采购人</w:t>
      </w:r>
      <w:r>
        <w:rPr>
          <w:rFonts w:hint="eastAsia"/>
          <w:sz w:val="24"/>
          <w:highlight w:val="none"/>
          <w:lang w:val="en-US" w:eastAsia="zh"/>
          <w:woUserID w:val="1"/>
        </w:rPr>
        <w:t>不组织统一</w:t>
      </w:r>
      <w:r>
        <w:rPr>
          <w:rFonts w:hint="eastAsia"/>
          <w:sz w:val="24"/>
          <w:highlight w:val="none"/>
          <w:lang w:val="en-US" w:eastAsia="zh-CN"/>
        </w:rPr>
        <w:t>实地考察。所有投标书将均被认为实地考察后编写的，由于考察不充分造成工作项目遗漏，结果由响应人负责。在项目执行过程中，响应人不能因此提出任何关于财务费用和工期延迟的要求，响应人对本工程安全、环境保护、工程质量、工期等管理负有全部责任。响应人还应对本工程现状进行评估，就技术特点、相关业绩、施工组织及劳动力计划、工程进度表等在响应文件中进行专题说明，并在响应文件中附带项目设计效果图。</w:t>
      </w:r>
    </w:p>
    <w:p w14:paraId="67CBEE73">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
          <w:woUserID w:val="1"/>
        </w:rPr>
        <w:t>8</w:t>
      </w:r>
      <w:r>
        <w:rPr>
          <w:rFonts w:hint="eastAsia"/>
          <w:sz w:val="24"/>
          <w:highlight w:val="none"/>
          <w:lang w:val="en-US" w:eastAsia="zh-CN"/>
        </w:rPr>
        <w:t>、本技术规范书中采购人提供的项目基础数据、设计数据等一切数据作为响应人的工作依据，未提供的数据由采购人配合响应人进行数据搜集工作。响应人应对所提供的改造方案、应用的技术、采用的所有产品及改造后的实际运行效果负全部责任，同时需满足询比文件的要求。</w:t>
      </w:r>
    </w:p>
    <w:p w14:paraId="6D3BB92A">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
          <w:woUserID w:val="1"/>
        </w:rPr>
        <w:t>9</w:t>
      </w:r>
      <w:r>
        <w:rPr>
          <w:rFonts w:hint="eastAsia"/>
          <w:sz w:val="24"/>
          <w:highlight w:val="none"/>
          <w:lang w:val="en-US" w:eastAsia="zh-CN"/>
        </w:rPr>
        <w:t>、本工程采用KKS标识系统，要求响应人提供的所有技术文件（包括图纸）和设备均采用KKS标识系统。标识原则、方法和内容由采购人提供。</w:t>
      </w:r>
    </w:p>
    <w:p w14:paraId="6006CDF7">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woUserID w:val="1"/>
        </w:rPr>
        <w:t>0</w:t>
      </w:r>
      <w:r>
        <w:rPr>
          <w:rFonts w:hint="eastAsia"/>
          <w:sz w:val="24"/>
          <w:highlight w:val="none"/>
          <w:lang w:val="en-US" w:eastAsia="zh-CN"/>
        </w:rPr>
        <w:t>、 响应人负责改造范围内警示、设备、管道、阀门标识、标志、色环、介质流向的制作安装，制作及安装标准按采购人要求执行。</w:t>
      </w:r>
    </w:p>
    <w:p w14:paraId="0D345473">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woUserID w:val="1"/>
        </w:rPr>
        <w:t>1</w:t>
      </w:r>
      <w:r>
        <w:rPr>
          <w:rFonts w:hint="eastAsia"/>
          <w:sz w:val="24"/>
          <w:highlight w:val="none"/>
          <w:lang w:val="en-US" w:eastAsia="zh-CN"/>
        </w:rPr>
        <w:t>、 响应人施工的安全管理、标准化作业、文明生产必须按采购人的相关管理制度执行。</w:t>
      </w:r>
    </w:p>
    <w:p w14:paraId="1E0FD44B">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woUserID w:val="1"/>
        </w:rPr>
        <w:t>2</w:t>
      </w:r>
      <w:r>
        <w:rPr>
          <w:rFonts w:hint="eastAsia"/>
          <w:sz w:val="24"/>
          <w:highlight w:val="none"/>
          <w:lang w:val="en-US" w:eastAsia="zh-CN"/>
        </w:rPr>
        <w:t>、响应人提供的设计、设备、系统所涉及的任何专利问题，由响应人负责解决，采购人不承担任何由专利纠纷引起的任何责任。</w:t>
      </w:r>
    </w:p>
    <w:p w14:paraId="57191F40">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woUserID w:val="1"/>
        </w:rPr>
        <w:t>3</w:t>
      </w:r>
      <w:r>
        <w:rPr>
          <w:rFonts w:hint="eastAsia"/>
          <w:sz w:val="24"/>
          <w:highlight w:val="none"/>
          <w:lang w:val="en-US" w:eastAsia="zh-CN"/>
        </w:rPr>
        <w:t>、 由于响应人设计、制造、采购供货、安装等问题而导致设备无法正常按期投产、供货设备无法长期连续、安全、经济、稳定、可靠地运行，不能满足技术性能要求，响应人负全部责任。</w:t>
      </w:r>
    </w:p>
    <w:p w14:paraId="5CE930D9">
      <w:pPr>
        <w:numPr>
          <w:ilvl w:val="0"/>
          <w:numId w:val="0"/>
        </w:numPr>
        <w:tabs>
          <w:tab w:val="left" w:pos="420"/>
        </w:tabs>
        <w:snapToGrid w:val="0"/>
        <w:spacing w:line="360" w:lineRule="auto"/>
        <w:ind w:leftChars="0"/>
        <w:rPr>
          <w:rFonts w:hint="eastAsia"/>
          <w:sz w:val="24"/>
          <w:highlight w:val="none"/>
          <w:lang w:val="en-US" w:eastAsia="zh-CN"/>
        </w:rPr>
      </w:pPr>
      <w:r>
        <w:rPr>
          <w:rFonts w:hint="eastAsia"/>
          <w:sz w:val="24"/>
          <w:highlight w:val="none"/>
          <w:lang w:val="en-US" w:eastAsia="zh-CN"/>
        </w:rPr>
        <w:t>1</w:t>
      </w:r>
      <w:r>
        <w:rPr>
          <w:rFonts w:hint="eastAsia"/>
          <w:sz w:val="24"/>
          <w:highlight w:val="none"/>
          <w:lang w:val="en-US" w:eastAsia="zh"/>
          <w:woUserID w:val="1"/>
        </w:rPr>
        <w:t>4</w:t>
      </w:r>
      <w:r>
        <w:rPr>
          <w:rFonts w:hint="eastAsia"/>
          <w:sz w:val="24"/>
          <w:highlight w:val="none"/>
          <w:lang w:val="en-US" w:eastAsia="zh-CN"/>
        </w:rPr>
        <w:t>、本工程涉及的所有拆除的设备、材料为采购人所有，由响应人根据采购人的要求送到指定位置。施工过程应满足当地政府对环保、安全的要求，施工过程产生的垃圾、土方、施工废料等由承包人负责处理，处理方案符合环保安全等的要求。采购人有权依据电厂安全、环保管理规定对响应人进行考核。</w:t>
      </w:r>
    </w:p>
    <w:p w14:paraId="7784155D">
      <w:pPr>
        <w:numPr>
          <w:ilvl w:val="0"/>
          <w:numId w:val="0"/>
        </w:numPr>
        <w:tabs>
          <w:tab w:val="left" w:pos="420"/>
        </w:tabs>
        <w:snapToGrid w:val="0"/>
        <w:spacing w:line="360" w:lineRule="auto"/>
        <w:ind w:leftChars="0"/>
        <w:rPr>
          <w:rFonts w:hint="default"/>
          <w:b/>
          <w:bCs/>
          <w:color w:val="auto"/>
          <w:sz w:val="30"/>
          <w:szCs w:val="30"/>
          <w:highlight w:val="none"/>
          <w:u w:val="none"/>
          <w:lang w:val="en-US" w:eastAsia="zh-CN"/>
        </w:rPr>
      </w:pPr>
      <w:r>
        <w:rPr>
          <w:rFonts w:hint="eastAsia"/>
          <w:sz w:val="24"/>
          <w:highlight w:val="none"/>
          <w:lang w:val="en-US" w:eastAsia="zh-CN"/>
        </w:rPr>
        <w:t>1</w:t>
      </w:r>
      <w:r>
        <w:rPr>
          <w:rFonts w:hint="eastAsia"/>
          <w:sz w:val="24"/>
          <w:highlight w:val="none"/>
          <w:lang w:val="en-US" w:eastAsia="zh"/>
          <w:woUserID w:val="1"/>
        </w:rPr>
        <w:t>5</w:t>
      </w:r>
      <w:r>
        <w:rPr>
          <w:rFonts w:hint="eastAsia"/>
          <w:sz w:val="24"/>
          <w:highlight w:val="none"/>
          <w:lang w:val="en-US" w:eastAsia="zh-CN"/>
        </w:rPr>
        <w:t>、 所有进口件（包括进口设备、零部件和原材料等）需要提供原产地证明文件、国外制造厂质量检验证明文件、进口海关证明文件和国内制造厂复检合格文件。采购人指定品牌的设备及配件必须按采购人要求选配，最终由采购人确定。</w:t>
      </w:r>
    </w:p>
    <w:p w14:paraId="57111CC8">
      <w:pPr>
        <w:numPr>
          <w:ilvl w:val="0"/>
          <w:numId w:val="2"/>
        </w:numPr>
        <w:jc w:val="both"/>
        <w:rPr>
          <w:rFonts w:hint="default"/>
          <w:b/>
          <w:bCs/>
          <w:color w:val="auto"/>
          <w:sz w:val="30"/>
          <w:szCs w:val="30"/>
          <w:highlight w:val="none"/>
          <w:u w:val="none"/>
          <w:lang w:val="en-US" w:eastAsia="zh-CN"/>
        </w:rPr>
      </w:pPr>
      <w:r>
        <w:rPr>
          <w:rFonts w:hint="eastAsia"/>
          <w:b/>
          <w:bCs/>
          <w:color w:val="auto"/>
          <w:sz w:val="30"/>
          <w:szCs w:val="30"/>
          <w:highlight w:val="none"/>
          <w:u w:val="none"/>
          <w:lang w:val="en-US" w:eastAsia="zh-CN"/>
        </w:rPr>
        <w:t>工程概况</w:t>
      </w:r>
    </w:p>
    <w:p w14:paraId="1A05BB9B">
      <w:pPr>
        <w:tabs>
          <w:tab w:val="left" w:pos="0"/>
        </w:tabs>
        <w:spacing w:line="360" w:lineRule="auto"/>
        <w:ind w:firstLine="480" w:firstLineChars="200"/>
        <w:rPr>
          <w:rFonts w:ascii="宋体" w:hAnsi="宋体"/>
          <w:sz w:val="24"/>
          <w:highlight w:val="none"/>
        </w:rPr>
      </w:pPr>
      <w:r>
        <w:rPr>
          <w:rFonts w:hint="eastAsia" w:ascii="宋体" w:hAnsi="宋体"/>
          <w:sz w:val="24"/>
          <w:highlight w:val="none"/>
          <w:lang w:val="en-US" w:eastAsia="zh-CN"/>
        </w:rPr>
        <w:t>四川泸州川南发电有限责任公司</w:t>
      </w:r>
      <w:r>
        <w:rPr>
          <w:rFonts w:hint="eastAsia" w:ascii="宋体" w:hAnsi="宋体"/>
          <w:sz w:val="24"/>
          <w:highlight w:val="none"/>
        </w:rPr>
        <w:t>厂址位于泸州市江阳区江北镇，西北距江北镇约</w:t>
      </w:r>
      <w:r>
        <w:rPr>
          <w:rFonts w:ascii="宋体" w:hAnsi="宋体"/>
          <w:sz w:val="24"/>
          <w:highlight w:val="none"/>
        </w:rPr>
        <w:t>600m</w:t>
      </w:r>
      <w:r>
        <w:rPr>
          <w:rFonts w:hint="eastAsia" w:ascii="宋体" w:hAnsi="宋体"/>
          <w:sz w:val="24"/>
          <w:highlight w:val="none"/>
        </w:rPr>
        <w:t>，东北距泸州市区边缘直线距离约</w:t>
      </w:r>
      <w:r>
        <w:rPr>
          <w:rFonts w:ascii="宋体" w:hAnsi="宋体"/>
          <w:sz w:val="24"/>
          <w:highlight w:val="none"/>
        </w:rPr>
        <w:t>15km</w:t>
      </w:r>
      <w:r>
        <w:rPr>
          <w:rFonts w:hint="eastAsia" w:ascii="宋体" w:hAnsi="宋体"/>
          <w:sz w:val="24"/>
          <w:highlight w:val="none"/>
        </w:rPr>
        <w:t>，公路距离约</w:t>
      </w:r>
      <w:r>
        <w:rPr>
          <w:rFonts w:ascii="宋体" w:hAnsi="宋体"/>
          <w:sz w:val="24"/>
          <w:highlight w:val="none"/>
        </w:rPr>
        <w:t>3</w:t>
      </w:r>
      <w:r>
        <w:rPr>
          <w:rFonts w:hint="eastAsia" w:ascii="宋体" w:hAnsi="宋体"/>
          <w:sz w:val="24"/>
          <w:highlight w:val="none"/>
        </w:rPr>
        <w:t>4</w:t>
      </w:r>
      <w:r>
        <w:rPr>
          <w:rFonts w:ascii="宋体" w:hAnsi="宋体"/>
          <w:sz w:val="24"/>
          <w:highlight w:val="none"/>
        </w:rPr>
        <w:t>km</w:t>
      </w:r>
      <w:r>
        <w:rPr>
          <w:rFonts w:hint="eastAsia" w:ascii="宋体" w:hAnsi="宋体"/>
          <w:sz w:val="24"/>
          <w:highlight w:val="none"/>
        </w:rPr>
        <w:t>，东面距纳溪区约</w:t>
      </w:r>
      <w:r>
        <w:rPr>
          <w:rFonts w:ascii="宋体" w:hAnsi="宋体"/>
          <w:sz w:val="24"/>
          <w:highlight w:val="none"/>
        </w:rPr>
        <w:t>7.5km</w:t>
      </w:r>
      <w:r>
        <w:rPr>
          <w:rFonts w:hint="eastAsia" w:ascii="宋体" w:hAnsi="宋体"/>
          <w:sz w:val="24"/>
          <w:highlight w:val="none"/>
        </w:rPr>
        <w:t>，南面距长江北岸约</w:t>
      </w:r>
      <w:r>
        <w:rPr>
          <w:rFonts w:ascii="宋体" w:hAnsi="宋体"/>
          <w:sz w:val="24"/>
          <w:highlight w:val="none"/>
        </w:rPr>
        <w:t>2km</w:t>
      </w:r>
      <w:r>
        <w:rPr>
          <w:rFonts w:hint="eastAsia" w:ascii="宋体" w:hAnsi="宋体"/>
          <w:sz w:val="24"/>
          <w:highlight w:val="none"/>
        </w:rPr>
        <w:t>，北面距泸州机场跑道轴线延长方向约</w:t>
      </w:r>
      <w:r>
        <w:rPr>
          <w:rFonts w:ascii="宋体" w:hAnsi="宋体"/>
          <w:sz w:val="24"/>
          <w:highlight w:val="none"/>
        </w:rPr>
        <w:t>2km</w:t>
      </w:r>
      <w:r>
        <w:rPr>
          <w:rFonts w:hint="eastAsia" w:ascii="宋体" w:hAnsi="宋体"/>
          <w:sz w:val="24"/>
          <w:highlight w:val="none"/>
        </w:rPr>
        <w:t>。</w:t>
      </w:r>
    </w:p>
    <w:p w14:paraId="63E854B5">
      <w:pPr>
        <w:tabs>
          <w:tab w:val="left" w:pos="0"/>
        </w:tabs>
        <w:spacing w:line="360" w:lineRule="auto"/>
        <w:ind w:firstLine="480" w:firstLineChars="200"/>
        <w:rPr>
          <w:rFonts w:hint="eastAsia"/>
          <w:sz w:val="24"/>
          <w:highlight w:val="none"/>
          <w:lang w:val="en-US" w:eastAsia="zh-CN"/>
        </w:rPr>
      </w:pPr>
      <w:r>
        <w:rPr>
          <w:rFonts w:hint="eastAsia" w:ascii="宋体" w:hAnsi="宋体"/>
          <w:sz w:val="24"/>
          <w:highlight w:val="none"/>
        </w:rPr>
        <w:t>本工程规划容量</w:t>
      </w:r>
      <w:r>
        <w:rPr>
          <w:rFonts w:ascii="宋体" w:hAnsi="宋体"/>
          <w:sz w:val="24"/>
          <w:highlight w:val="none"/>
        </w:rPr>
        <w:t>4</w:t>
      </w:r>
      <w:r>
        <w:rPr>
          <w:rFonts w:hint="eastAsia" w:ascii="宋体" w:hAnsi="宋体"/>
          <w:sz w:val="24"/>
          <w:highlight w:val="none"/>
        </w:rPr>
        <w:t>×</w:t>
      </w:r>
      <w:r>
        <w:rPr>
          <w:rFonts w:ascii="宋体" w:hAnsi="宋体"/>
          <w:sz w:val="24"/>
          <w:highlight w:val="none"/>
        </w:rPr>
        <w:t>600MW</w:t>
      </w:r>
      <w:r>
        <w:rPr>
          <w:rFonts w:hint="eastAsia" w:ascii="宋体" w:hAnsi="宋体"/>
          <w:sz w:val="24"/>
          <w:highlight w:val="none"/>
        </w:rPr>
        <w:t>机组，本期工程建设规模为</w:t>
      </w:r>
      <w:r>
        <w:rPr>
          <w:rFonts w:ascii="宋体" w:hAnsi="宋体"/>
          <w:sz w:val="24"/>
          <w:highlight w:val="none"/>
        </w:rPr>
        <w:t>2</w:t>
      </w:r>
      <w:r>
        <w:rPr>
          <w:rFonts w:hint="eastAsia" w:ascii="宋体" w:hAnsi="宋体"/>
          <w:sz w:val="24"/>
          <w:highlight w:val="none"/>
        </w:rPr>
        <w:t>×</w:t>
      </w:r>
      <w:r>
        <w:rPr>
          <w:rFonts w:ascii="宋体" w:hAnsi="宋体"/>
          <w:sz w:val="24"/>
          <w:highlight w:val="none"/>
        </w:rPr>
        <w:t>600MW</w:t>
      </w:r>
      <w:r>
        <w:rPr>
          <w:rFonts w:hint="eastAsia" w:ascii="宋体" w:hAnsi="宋体"/>
          <w:sz w:val="24"/>
          <w:highlight w:val="none"/>
        </w:rPr>
        <w:t>机组。</w:t>
      </w:r>
      <w:r>
        <w:rPr>
          <w:rFonts w:hint="eastAsia"/>
          <w:sz w:val="24"/>
          <w:highlight w:val="none"/>
        </w:rPr>
        <w:t>厂内火车运煤系统在煤场固定端南、北侧各设火车煤翻车机2台，火车煤卸煤经1、2、3、4AB胶带输送机输送至煤场和煤仓，带式输送机系统为带宽B=1400mm，带速V=</w:t>
      </w:r>
      <w:r>
        <w:rPr>
          <w:sz w:val="24"/>
          <w:highlight w:val="none"/>
        </w:rPr>
        <w:t>2.</w:t>
      </w:r>
      <w:r>
        <w:rPr>
          <w:rFonts w:hint="eastAsia"/>
          <w:sz w:val="24"/>
          <w:highlight w:val="none"/>
        </w:rPr>
        <w:t>5m/s，额定出力Q=1500t/h。运煤系统采用程控和就地控制两种方式。在3AB胶带输送机栈桥下安装2台皮带中部采制样装置</w:t>
      </w:r>
      <w:r>
        <w:rPr>
          <w:rFonts w:hint="eastAsia"/>
          <w:sz w:val="24"/>
          <w:highlight w:val="none"/>
          <w:lang w:eastAsia="zh-CN"/>
        </w:rPr>
        <w:t>，</w:t>
      </w:r>
      <w:r>
        <w:rPr>
          <w:rFonts w:hint="eastAsia"/>
          <w:sz w:val="24"/>
          <w:highlight w:val="none"/>
          <w:lang w:val="en-US" w:eastAsia="zh-CN"/>
        </w:rPr>
        <w:t>在南煤场侧面设置了2台</w:t>
      </w:r>
      <w:r>
        <w:rPr>
          <w:rFonts w:hint="eastAsia"/>
          <w:sz w:val="24"/>
          <w:highlight w:val="none"/>
          <w:lang w:val="en-US" w:eastAsia="zh"/>
          <w:woUserID w:val="1"/>
        </w:rPr>
        <w:t>北京通尼公司生产的</w:t>
      </w:r>
      <w:r>
        <w:rPr>
          <w:rFonts w:hint="eastAsia"/>
          <w:sz w:val="24"/>
          <w:highlight w:val="none"/>
          <w:lang w:val="en-US" w:eastAsia="zh-CN"/>
        </w:rPr>
        <w:t>螺旋钻杆汽车煤采样装置。</w:t>
      </w:r>
    </w:p>
    <w:p w14:paraId="45117DB8">
      <w:pPr>
        <w:tabs>
          <w:tab w:val="left" w:pos="0"/>
        </w:tabs>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 xml:space="preserve"> 公司</w:t>
      </w:r>
      <w:r>
        <w:rPr>
          <w:rFonts w:hint="eastAsia" w:ascii="宋体" w:hAnsi="宋体"/>
          <w:sz w:val="24"/>
          <w:highlight w:val="none"/>
          <w:lang w:val="en-US" w:eastAsia="zh"/>
          <w:woUserID w:val="1"/>
        </w:rPr>
        <w:t>汽车入厂煤系统配</w:t>
      </w:r>
      <w:r>
        <w:rPr>
          <w:rFonts w:hint="eastAsia" w:ascii="宋体" w:hAnsi="宋体"/>
          <w:sz w:val="24"/>
          <w:highlight w:val="none"/>
          <w:lang w:val="en-US" w:eastAsia="zh-CN"/>
        </w:rPr>
        <w:t>有</w:t>
      </w:r>
      <w:r>
        <w:rPr>
          <w:rFonts w:hint="default" w:ascii="宋体" w:hAnsi="宋体"/>
          <w:sz w:val="24"/>
          <w:highlight w:val="none"/>
          <w:lang w:val="en-US" w:eastAsia="zh-CN"/>
        </w:rPr>
        <w:t>A</w:t>
      </w:r>
      <w:r>
        <w:rPr>
          <w:rFonts w:hint="eastAsia" w:ascii="宋体" w:hAnsi="宋体"/>
          <w:sz w:val="24"/>
          <w:highlight w:val="none"/>
          <w:lang w:val="en-US" w:eastAsia="zh-CN"/>
        </w:rPr>
        <w:t>、</w:t>
      </w:r>
      <w:r>
        <w:rPr>
          <w:rFonts w:hint="default" w:ascii="宋体" w:hAnsi="宋体"/>
          <w:sz w:val="24"/>
          <w:highlight w:val="none"/>
          <w:lang w:val="en-US" w:eastAsia="zh-CN"/>
        </w:rPr>
        <w:t>B</w:t>
      </w:r>
      <w:r>
        <w:rPr>
          <w:rFonts w:hint="eastAsia" w:ascii="宋体" w:hAnsi="宋体"/>
          <w:sz w:val="24"/>
          <w:highlight w:val="none"/>
          <w:lang w:val="en-US" w:eastAsia="zh-CN"/>
        </w:rPr>
        <w:t>两台重车衡，</w:t>
      </w:r>
      <w:r>
        <w:rPr>
          <w:rFonts w:hint="default" w:ascii="宋体" w:hAnsi="宋体"/>
          <w:sz w:val="24"/>
          <w:highlight w:val="none"/>
          <w:lang w:val="en-US" w:eastAsia="zh-CN"/>
        </w:rPr>
        <w:t>C</w:t>
      </w:r>
      <w:r>
        <w:rPr>
          <w:rFonts w:hint="eastAsia" w:ascii="宋体" w:hAnsi="宋体"/>
          <w:sz w:val="24"/>
          <w:highlight w:val="none"/>
          <w:lang w:val="en-US" w:eastAsia="zh-CN"/>
        </w:rPr>
        <w:t>、</w:t>
      </w:r>
      <w:r>
        <w:rPr>
          <w:rFonts w:hint="default" w:ascii="宋体" w:hAnsi="宋体"/>
          <w:sz w:val="24"/>
          <w:highlight w:val="none"/>
          <w:lang w:val="en-US" w:eastAsia="zh-CN"/>
        </w:rPr>
        <w:t>D</w:t>
      </w:r>
      <w:r>
        <w:rPr>
          <w:rFonts w:hint="eastAsia" w:ascii="宋体" w:hAnsi="宋体"/>
          <w:sz w:val="24"/>
          <w:highlight w:val="none"/>
          <w:lang w:val="en-US" w:eastAsia="zh-CN"/>
        </w:rPr>
        <w:t>两台轻车衡，均由梅特勒</w:t>
      </w:r>
      <w:r>
        <w:rPr>
          <w:rFonts w:hint="default" w:ascii="宋体" w:hAnsi="宋体"/>
          <w:sz w:val="24"/>
          <w:highlight w:val="none"/>
          <w:lang w:val="en-US" w:eastAsia="zh-CN"/>
        </w:rPr>
        <w:t>-</w:t>
      </w:r>
      <w:r>
        <w:rPr>
          <w:rFonts w:hint="eastAsia" w:ascii="宋体" w:hAnsi="宋体"/>
          <w:sz w:val="24"/>
          <w:highlight w:val="none"/>
          <w:lang w:val="en-US" w:eastAsia="zh-CN"/>
        </w:rPr>
        <w:t>托利多称重设备有限公司制造，具有自动称量、数据处理、显示、打印等功能，称重数据上传至服务器。称重管理系统为梅特勒</w:t>
      </w:r>
      <w:r>
        <w:rPr>
          <w:rFonts w:hint="default" w:ascii="宋体" w:hAnsi="宋体"/>
          <w:sz w:val="24"/>
          <w:highlight w:val="none"/>
          <w:lang w:val="en-US" w:eastAsia="zh-CN"/>
        </w:rPr>
        <w:t>-</w:t>
      </w:r>
      <w:r>
        <w:rPr>
          <w:rFonts w:hint="eastAsia" w:ascii="宋体" w:hAnsi="宋体"/>
          <w:sz w:val="24"/>
          <w:highlight w:val="none"/>
          <w:lang w:val="en-US" w:eastAsia="zh-CN"/>
        </w:rPr>
        <w:t>托利多</w:t>
      </w:r>
      <w:r>
        <w:rPr>
          <w:rFonts w:hint="default" w:ascii="宋体" w:hAnsi="宋体"/>
          <w:sz w:val="24"/>
          <w:highlight w:val="none"/>
          <w:lang w:val="en-US" w:eastAsia="zh-CN"/>
        </w:rPr>
        <w:t>AVS</w:t>
      </w:r>
      <w:r>
        <w:rPr>
          <w:rFonts w:hint="eastAsia" w:ascii="宋体" w:hAnsi="宋体"/>
          <w:sz w:val="24"/>
          <w:highlight w:val="none"/>
          <w:lang w:val="en-US" w:eastAsia="zh-CN"/>
        </w:rPr>
        <w:t>车辆自动称重管理系统。</w:t>
      </w:r>
    </w:p>
    <w:p w14:paraId="2A52A80B">
      <w:pPr>
        <w:pStyle w:val="2"/>
        <w:rPr>
          <w:rFonts w:hint="default"/>
          <w:highlight w:val="none"/>
          <w:lang w:val="en-US" w:eastAsia="zh-CN"/>
        </w:rPr>
      </w:pPr>
    </w:p>
    <w:p w14:paraId="730449D5">
      <w:pPr>
        <w:numPr>
          <w:ilvl w:val="0"/>
          <w:numId w:val="2"/>
        </w:numPr>
        <w:jc w:val="both"/>
        <w:rPr>
          <w:rFonts w:hint="default"/>
          <w:b/>
          <w:bCs/>
          <w:color w:val="auto"/>
          <w:sz w:val="30"/>
          <w:szCs w:val="30"/>
          <w:highlight w:val="none"/>
          <w:u w:val="none"/>
          <w:lang w:val="en-US" w:eastAsia="zh-CN"/>
        </w:rPr>
      </w:pPr>
      <w:r>
        <w:rPr>
          <w:rStyle w:val="19"/>
          <w:rFonts w:hint="eastAsia"/>
          <w:b/>
          <w:color w:val="auto"/>
          <w:sz w:val="30"/>
          <w:szCs w:val="30"/>
          <w:highlight w:val="none"/>
          <w:u w:val="none"/>
        </w:rPr>
        <w:t>设计和运行条件</w:t>
      </w:r>
    </w:p>
    <w:p w14:paraId="34689C90">
      <w:pPr>
        <w:tabs>
          <w:tab w:val="left" w:pos="0"/>
        </w:tabs>
        <w:spacing w:line="360" w:lineRule="auto"/>
        <w:rPr>
          <w:rFonts w:hint="eastAsia"/>
          <w:sz w:val="24"/>
          <w:highlight w:val="none"/>
        </w:rPr>
      </w:pPr>
      <w:bookmarkStart w:id="0" w:name="_Toc286313039"/>
      <w:r>
        <w:rPr>
          <w:rFonts w:hint="eastAsia"/>
          <w:sz w:val="24"/>
          <w:highlight w:val="none"/>
        </w:rPr>
        <w:t>1</w:t>
      </w:r>
      <w:r>
        <w:rPr>
          <w:rFonts w:hint="eastAsia"/>
          <w:sz w:val="24"/>
          <w:highlight w:val="none"/>
          <w:lang w:eastAsia="zh-CN"/>
        </w:rPr>
        <w:t>、</w:t>
      </w:r>
      <w:r>
        <w:rPr>
          <w:rFonts w:hint="eastAsia"/>
          <w:sz w:val="24"/>
          <w:highlight w:val="none"/>
        </w:rPr>
        <w:t>气象资料</w:t>
      </w:r>
      <w:bookmarkEnd w:id="0"/>
    </w:p>
    <w:p w14:paraId="11586945">
      <w:pPr>
        <w:tabs>
          <w:tab w:val="left" w:pos="0"/>
        </w:tabs>
        <w:spacing w:line="360" w:lineRule="auto"/>
        <w:ind w:firstLine="480" w:firstLineChars="200"/>
        <w:rPr>
          <w:rFonts w:hint="eastAsia"/>
          <w:sz w:val="24"/>
          <w:highlight w:val="none"/>
        </w:rPr>
      </w:pPr>
      <w:r>
        <w:rPr>
          <w:rFonts w:hint="eastAsia"/>
          <w:sz w:val="24"/>
          <w:highlight w:val="none"/>
        </w:rPr>
        <w:t>多年平均气压</w:t>
      </w:r>
      <w:r>
        <w:rPr>
          <w:rFonts w:hint="eastAsia"/>
          <w:sz w:val="24"/>
          <w:highlight w:val="none"/>
        </w:rPr>
        <w:tab/>
      </w:r>
      <w:r>
        <w:rPr>
          <w:rFonts w:hint="eastAsia"/>
          <w:sz w:val="24"/>
          <w:highlight w:val="none"/>
        </w:rPr>
        <w:t>973.2 hpa</w:t>
      </w:r>
    </w:p>
    <w:p w14:paraId="05499B24">
      <w:pPr>
        <w:tabs>
          <w:tab w:val="left" w:pos="0"/>
        </w:tabs>
        <w:spacing w:line="360" w:lineRule="auto"/>
        <w:ind w:firstLine="480" w:firstLineChars="200"/>
        <w:rPr>
          <w:rFonts w:hint="eastAsia"/>
          <w:sz w:val="24"/>
          <w:highlight w:val="none"/>
        </w:rPr>
      </w:pPr>
      <w:r>
        <w:rPr>
          <w:rFonts w:hint="eastAsia"/>
          <w:sz w:val="24"/>
          <w:highlight w:val="none"/>
        </w:rPr>
        <w:t>多年最高气压</w:t>
      </w:r>
      <w:r>
        <w:rPr>
          <w:rFonts w:hint="eastAsia"/>
          <w:sz w:val="24"/>
          <w:highlight w:val="none"/>
        </w:rPr>
        <w:tab/>
      </w:r>
      <w:r>
        <w:rPr>
          <w:rFonts w:hint="eastAsia"/>
          <w:sz w:val="24"/>
          <w:highlight w:val="none"/>
        </w:rPr>
        <w:t>1001.4 hpa（1969年4月4日）</w:t>
      </w:r>
    </w:p>
    <w:p w14:paraId="6F076EA1">
      <w:pPr>
        <w:tabs>
          <w:tab w:val="left" w:pos="0"/>
        </w:tabs>
        <w:spacing w:line="360" w:lineRule="auto"/>
        <w:ind w:firstLine="480" w:firstLineChars="200"/>
        <w:rPr>
          <w:rFonts w:hint="eastAsia"/>
          <w:sz w:val="24"/>
          <w:highlight w:val="none"/>
        </w:rPr>
      </w:pPr>
      <w:r>
        <w:rPr>
          <w:rFonts w:hint="eastAsia"/>
          <w:sz w:val="24"/>
          <w:highlight w:val="none"/>
        </w:rPr>
        <w:t>多年最低气压</w:t>
      </w:r>
      <w:r>
        <w:rPr>
          <w:rFonts w:hint="eastAsia"/>
          <w:sz w:val="24"/>
          <w:highlight w:val="none"/>
        </w:rPr>
        <w:tab/>
      </w:r>
      <w:r>
        <w:rPr>
          <w:rFonts w:hint="eastAsia"/>
          <w:sz w:val="24"/>
          <w:highlight w:val="none"/>
        </w:rPr>
        <w:t>946.8 hpa（1991年5月24日）</w:t>
      </w:r>
    </w:p>
    <w:p w14:paraId="04E70149">
      <w:pPr>
        <w:tabs>
          <w:tab w:val="left" w:pos="0"/>
        </w:tabs>
        <w:spacing w:line="360" w:lineRule="auto"/>
        <w:ind w:firstLine="480" w:firstLineChars="200"/>
        <w:rPr>
          <w:rFonts w:hint="eastAsia"/>
          <w:sz w:val="24"/>
          <w:highlight w:val="none"/>
        </w:rPr>
      </w:pPr>
      <w:r>
        <w:rPr>
          <w:rFonts w:hint="eastAsia"/>
          <w:sz w:val="24"/>
          <w:highlight w:val="none"/>
        </w:rPr>
        <w:t>多年平均气温</w:t>
      </w:r>
      <w:r>
        <w:rPr>
          <w:rFonts w:hint="eastAsia"/>
          <w:sz w:val="24"/>
          <w:highlight w:val="none"/>
        </w:rPr>
        <w:tab/>
      </w:r>
      <w:r>
        <w:rPr>
          <w:rFonts w:hint="eastAsia"/>
          <w:sz w:val="24"/>
          <w:highlight w:val="none"/>
        </w:rPr>
        <w:t>17.6℃</w:t>
      </w:r>
    </w:p>
    <w:p w14:paraId="07BA45C1">
      <w:pPr>
        <w:tabs>
          <w:tab w:val="left" w:pos="0"/>
        </w:tabs>
        <w:spacing w:line="360" w:lineRule="auto"/>
        <w:ind w:firstLine="480" w:firstLineChars="200"/>
        <w:rPr>
          <w:rFonts w:hint="eastAsia"/>
          <w:sz w:val="24"/>
          <w:highlight w:val="none"/>
        </w:rPr>
      </w:pPr>
      <w:r>
        <w:rPr>
          <w:rFonts w:hint="eastAsia"/>
          <w:sz w:val="24"/>
          <w:highlight w:val="none"/>
        </w:rPr>
        <w:t>多年最高气温</w:t>
      </w:r>
      <w:r>
        <w:rPr>
          <w:rFonts w:hint="eastAsia"/>
          <w:sz w:val="24"/>
          <w:highlight w:val="none"/>
        </w:rPr>
        <w:tab/>
      </w:r>
      <w:r>
        <w:rPr>
          <w:rFonts w:hint="eastAsia"/>
          <w:sz w:val="24"/>
          <w:highlight w:val="none"/>
        </w:rPr>
        <w:t>40.2℃（1972年8月26日）</w:t>
      </w:r>
    </w:p>
    <w:p w14:paraId="30EB8E92">
      <w:pPr>
        <w:tabs>
          <w:tab w:val="left" w:pos="0"/>
        </w:tabs>
        <w:spacing w:line="360" w:lineRule="auto"/>
        <w:ind w:firstLine="480" w:firstLineChars="200"/>
        <w:rPr>
          <w:rFonts w:hint="eastAsia"/>
          <w:sz w:val="24"/>
          <w:highlight w:val="none"/>
        </w:rPr>
      </w:pPr>
      <w:r>
        <w:rPr>
          <w:rFonts w:hint="eastAsia"/>
          <w:sz w:val="24"/>
          <w:highlight w:val="none"/>
        </w:rPr>
        <w:t>多年最低气温</w:t>
      </w:r>
      <w:r>
        <w:rPr>
          <w:rFonts w:hint="eastAsia"/>
          <w:sz w:val="24"/>
          <w:highlight w:val="none"/>
        </w:rPr>
        <w:tab/>
      </w:r>
      <w:r>
        <w:rPr>
          <w:rFonts w:hint="eastAsia"/>
          <w:sz w:val="24"/>
          <w:highlight w:val="none"/>
        </w:rPr>
        <w:t>-1.6℃（1989年1月14日）</w:t>
      </w:r>
    </w:p>
    <w:p w14:paraId="0A76272B">
      <w:pPr>
        <w:tabs>
          <w:tab w:val="left" w:pos="0"/>
        </w:tabs>
        <w:spacing w:line="360" w:lineRule="auto"/>
        <w:ind w:firstLine="480" w:firstLineChars="200"/>
        <w:rPr>
          <w:rFonts w:hint="eastAsia"/>
          <w:sz w:val="24"/>
          <w:highlight w:val="none"/>
        </w:rPr>
      </w:pPr>
      <w:r>
        <w:rPr>
          <w:rFonts w:hint="eastAsia"/>
          <w:sz w:val="24"/>
          <w:highlight w:val="none"/>
        </w:rPr>
        <w:t>最热月平均最高气温（8月）</w:t>
      </w:r>
      <w:r>
        <w:rPr>
          <w:rFonts w:hint="eastAsia"/>
          <w:sz w:val="24"/>
          <w:highlight w:val="none"/>
        </w:rPr>
        <w:tab/>
      </w:r>
      <w:r>
        <w:rPr>
          <w:rFonts w:hint="eastAsia"/>
          <w:sz w:val="24"/>
          <w:highlight w:val="none"/>
        </w:rPr>
        <w:t>31.4℃</w:t>
      </w:r>
    </w:p>
    <w:p w14:paraId="12C99A14">
      <w:pPr>
        <w:tabs>
          <w:tab w:val="left" w:pos="0"/>
        </w:tabs>
        <w:spacing w:line="360" w:lineRule="auto"/>
        <w:ind w:firstLine="480" w:firstLineChars="200"/>
        <w:rPr>
          <w:rFonts w:hint="eastAsia"/>
          <w:sz w:val="24"/>
          <w:highlight w:val="none"/>
        </w:rPr>
      </w:pPr>
      <w:r>
        <w:rPr>
          <w:rFonts w:hint="eastAsia"/>
          <w:sz w:val="24"/>
          <w:highlight w:val="none"/>
        </w:rPr>
        <w:t>最近10a最大日温差</w:t>
      </w:r>
      <w:r>
        <w:rPr>
          <w:rFonts w:hint="eastAsia"/>
          <w:sz w:val="24"/>
          <w:highlight w:val="none"/>
        </w:rPr>
        <w:tab/>
      </w:r>
      <w:r>
        <w:rPr>
          <w:rFonts w:hint="eastAsia"/>
          <w:sz w:val="24"/>
          <w:highlight w:val="none"/>
        </w:rPr>
        <w:t>16.5℃（1998年4月24日）</w:t>
      </w:r>
    </w:p>
    <w:p w14:paraId="2723B7A2">
      <w:pPr>
        <w:tabs>
          <w:tab w:val="left" w:pos="0"/>
        </w:tabs>
        <w:spacing w:line="360" w:lineRule="auto"/>
        <w:ind w:firstLine="480" w:firstLineChars="200"/>
        <w:rPr>
          <w:rFonts w:hint="eastAsia"/>
          <w:sz w:val="24"/>
          <w:highlight w:val="none"/>
        </w:rPr>
      </w:pPr>
      <w:r>
        <w:rPr>
          <w:rFonts w:hint="eastAsia"/>
          <w:sz w:val="24"/>
          <w:highlight w:val="none"/>
        </w:rPr>
        <w:t xml:space="preserve">  多年平均相对湿度</w:t>
      </w:r>
      <w:r>
        <w:rPr>
          <w:rFonts w:hint="eastAsia"/>
          <w:sz w:val="24"/>
          <w:highlight w:val="none"/>
        </w:rPr>
        <w:tab/>
      </w:r>
      <w:r>
        <w:rPr>
          <w:rFonts w:hint="eastAsia"/>
          <w:sz w:val="24"/>
          <w:highlight w:val="none"/>
        </w:rPr>
        <w:t>84%</w:t>
      </w:r>
    </w:p>
    <w:p w14:paraId="6CADE072">
      <w:pPr>
        <w:tabs>
          <w:tab w:val="left" w:pos="0"/>
        </w:tabs>
        <w:spacing w:line="360" w:lineRule="auto"/>
        <w:ind w:firstLine="480" w:firstLineChars="200"/>
        <w:rPr>
          <w:rFonts w:hint="eastAsia"/>
          <w:sz w:val="24"/>
          <w:highlight w:val="none"/>
        </w:rPr>
      </w:pPr>
      <w:r>
        <w:rPr>
          <w:rFonts w:hint="eastAsia"/>
          <w:sz w:val="24"/>
          <w:highlight w:val="none"/>
        </w:rPr>
        <w:t>最大冻土深度                 该地区无冻土</w:t>
      </w:r>
    </w:p>
    <w:p w14:paraId="76372819">
      <w:pPr>
        <w:tabs>
          <w:tab w:val="left" w:pos="0"/>
        </w:tabs>
        <w:spacing w:line="360" w:lineRule="auto"/>
        <w:ind w:firstLine="480" w:firstLineChars="200"/>
        <w:rPr>
          <w:rFonts w:hint="eastAsia"/>
          <w:sz w:val="24"/>
          <w:highlight w:val="none"/>
        </w:rPr>
      </w:pPr>
      <w:r>
        <w:rPr>
          <w:rFonts w:hint="eastAsia"/>
          <w:sz w:val="24"/>
          <w:highlight w:val="none"/>
        </w:rPr>
        <w:t>多年年平均降雨量：</w:t>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 xml:space="preserve">  1022.7mm</w:t>
      </w:r>
    </w:p>
    <w:p w14:paraId="3B2575F8">
      <w:pPr>
        <w:tabs>
          <w:tab w:val="left" w:pos="0"/>
        </w:tabs>
        <w:spacing w:line="360" w:lineRule="auto"/>
        <w:ind w:firstLine="480" w:firstLineChars="200"/>
        <w:rPr>
          <w:rFonts w:hint="eastAsia"/>
          <w:sz w:val="24"/>
          <w:highlight w:val="none"/>
        </w:rPr>
      </w:pPr>
      <w:r>
        <w:rPr>
          <w:rFonts w:hint="eastAsia"/>
          <w:sz w:val="24"/>
          <w:highlight w:val="none"/>
        </w:rPr>
        <w:t>多年一日最大降雨量：</w:t>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 xml:space="preserve">  160.5mm</w:t>
      </w:r>
    </w:p>
    <w:p w14:paraId="1F5A5E2E">
      <w:pPr>
        <w:tabs>
          <w:tab w:val="left" w:pos="0"/>
        </w:tabs>
        <w:spacing w:line="360" w:lineRule="auto"/>
        <w:ind w:firstLine="480" w:firstLineChars="200"/>
        <w:rPr>
          <w:rFonts w:hint="eastAsia"/>
          <w:sz w:val="24"/>
          <w:highlight w:val="none"/>
        </w:rPr>
      </w:pPr>
      <w:r>
        <w:rPr>
          <w:rFonts w:hint="eastAsia"/>
          <w:sz w:val="24"/>
          <w:highlight w:val="none"/>
        </w:rPr>
        <w:t>多年平均风速：</w:t>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 xml:space="preserve">  1.2m/s</w:t>
      </w:r>
    </w:p>
    <w:p w14:paraId="57F8F3FF">
      <w:pPr>
        <w:tabs>
          <w:tab w:val="left" w:pos="0"/>
        </w:tabs>
        <w:spacing w:line="360" w:lineRule="auto"/>
        <w:ind w:firstLine="480" w:firstLineChars="200"/>
        <w:rPr>
          <w:rFonts w:hint="eastAsia"/>
          <w:sz w:val="24"/>
          <w:highlight w:val="none"/>
        </w:rPr>
      </w:pPr>
      <w:r>
        <w:rPr>
          <w:rFonts w:hint="eastAsia"/>
          <w:sz w:val="24"/>
          <w:highlight w:val="none"/>
        </w:rPr>
        <w:t>离地10m高50a一遇10min平均最大风速：</w:t>
      </w:r>
      <w:r>
        <w:rPr>
          <w:rFonts w:hint="eastAsia"/>
          <w:sz w:val="24"/>
          <w:highlight w:val="none"/>
        </w:rPr>
        <w:tab/>
      </w:r>
      <w:r>
        <w:rPr>
          <w:rFonts w:hint="eastAsia"/>
          <w:sz w:val="24"/>
          <w:highlight w:val="none"/>
        </w:rPr>
        <w:t>24.0m/s</w:t>
      </w:r>
    </w:p>
    <w:p w14:paraId="1E5E6AE2">
      <w:pPr>
        <w:tabs>
          <w:tab w:val="left" w:pos="0"/>
        </w:tabs>
        <w:spacing w:line="360" w:lineRule="auto"/>
        <w:ind w:firstLine="480" w:firstLineChars="200"/>
        <w:rPr>
          <w:rFonts w:hint="eastAsia"/>
          <w:sz w:val="24"/>
          <w:highlight w:val="none"/>
        </w:rPr>
      </w:pPr>
      <w:r>
        <w:rPr>
          <w:rFonts w:hint="eastAsia"/>
          <w:sz w:val="24"/>
          <w:highlight w:val="none"/>
        </w:rPr>
        <w:t>离地10m高30 a一遇10min平均最大风速：</w:t>
      </w:r>
      <w:r>
        <w:rPr>
          <w:rFonts w:hint="eastAsia"/>
          <w:sz w:val="24"/>
          <w:highlight w:val="none"/>
        </w:rPr>
        <w:tab/>
      </w:r>
      <w:r>
        <w:rPr>
          <w:rFonts w:hint="eastAsia"/>
          <w:sz w:val="24"/>
          <w:highlight w:val="none"/>
        </w:rPr>
        <w:t>21.9m/s</w:t>
      </w:r>
    </w:p>
    <w:p w14:paraId="5798628A">
      <w:pPr>
        <w:tabs>
          <w:tab w:val="left" w:pos="0"/>
        </w:tabs>
        <w:spacing w:line="360" w:lineRule="auto"/>
        <w:ind w:firstLine="480" w:firstLineChars="200"/>
        <w:rPr>
          <w:rFonts w:hint="eastAsia"/>
          <w:sz w:val="24"/>
          <w:highlight w:val="none"/>
        </w:rPr>
      </w:pPr>
      <w:r>
        <w:rPr>
          <w:rFonts w:hint="eastAsia"/>
          <w:sz w:val="24"/>
          <w:highlight w:val="none"/>
        </w:rPr>
        <w:t>多年年平均降水日数：</w:t>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ab/>
      </w:r>
      <w:r>
        <w:rPr>
          <w:rFonts w:hint="eastAsia"/>
          <w:sz w:val="24"/>
          <w:highlight w:val="none"/>
        </w:rPr>
        <w:t>159.9d</w:t>
      </w:r>
    </w:p>
    <w:p w14:paraId="11B4D5AB">
      <w:pPr>
        <w:tabs>
          <w:tab w:val="left" w:pos="0"/>
        </w:tabs>
        <w:spacing w:line="360" w:lineRule="auto"/>
        <w:rPr>
          <w:rFonts w:hint="eastAsia"/>
          <w:sz w:val="24"/>
          <w:highlight w:val="none"/>
        </w:rPr>
      </w:pPr>
      <w:bookmarkStart w:id="1" w:name="_Toc73872247"/>
      <w:bookmarkStart w:id="2" w:name="_Toc286313040"/>
      <w:r>
        <w:rPr>
          <w:rFonts w:hint="eastAsia"/>
          <w:sz w:val="24"/>
          <w:highlight w:val="none"/>
        </w:rPr>
        <w:t>2</w:t>
      </w:r>
      <w:r>
        <w:rPr>
          <w:rFonts w:hint="eastAsia"/>
          <w:sz w:val="24"/>
          <w:highlight w:val="none"/>
          <w:lang w:eastAsia="zh-CN"/>
        </w:rPr>
        <w:t>、</w:t>
      </w:r>
      <w:r>
        <w:rPr>
          <w:rFonts w:hint="eastAsia"/>
          <w:sz w:val="24"/>
          <w:highlight w:val="none"/>
        </w:rPr>
        <w:t xml:space="preserve"> 燃煤主要特性</w:t>
      </w:r>
      <w:bookmarkEnd w:id="1"/>
      <w:bookmarkEnd w:id="2"/>
    </w:p>
    <w:p w14:paraId="0E97F677">
      <w:pPr>
        <w:tabs>
          <w:tab w:val="left" w:pos="0"/>
        </w:tabs>
        <w:spacing w:line="360" w:lineRule="auto"/>
        <w:ind w:firstLine="480" w:firstLineChars="200"/>
        <w:rPr>
          <w:rFonts w:hint="eastAsia"/>
          <w:sz w:val="24"/>
          <w:highlight w:val="none"/>
        </w:rPr>
      </w:pPr>
      <w:r>
        <w:rPr>
          <w:rFonts w:hint="eastAsia"/>
          <w:sz w:val="24"/>
          <w:highlight w:val="none"/>
        </w:rPr>
        <w:t>煤种：无烟煤</w:t>
      </w:r>
      <w:r>
        <w:rPr>
          <w:rFonts w:hint="eastAsia"/>
          <w:sz w:val="24"/>
          <w:highlight w:val="none"/>
          <w:lang w:eastAsia="zh-CN"/>
        </w:rPr>
        <w:t>、</w:t>
      </w:r>
      <w:r>
        <w:rPr>
          <w:rFonts w:hint="eastAsia"/>
          <w:sz w:val="24"/>
          <w:highlight w:val="none"/>
          <w:lang w:val="en-US" w:eastAsia="zh-CN"/>
        </w:rPr>
        <w:t>烟煤、混合煤等</w:t>
      </w:r>
      <w:r>
        <w:rPr>
          <w:rFonts w:hint="eastAsia"/>
          <w:sz w:val="24"/>
          <w:highlight w:val="none"/>
        </w:rPr>
        <w:t>。</w:t>
      </w:r>
    </w:p>
    <w:p w14:paraId="155C15CB">
      <w:pPr>
        <w:tabs>
          <w:tab w:val="left" w:pos="0"/>
        </w:tabs>
        <w:spacing w:line="360" w:lineRule="auto"/>
        <w:ind w:firstLine="480" w:firstLineChars="200"/>
        <w:rPr>
          <w:rFonts w:hint="eastAsia"/>
          <w:sz w:val="24"/>
          <w:highlight w:val="none"/>
        </w:rPr>
      </w:pPr>
      <w:r>
        <w:rPr>
          <w:rFonts w:hint="eastAsia"/>
          <w:sz w:val="24"/>
          <w:highlight w:val="none"/>
        </w:rPr>
        <w:t>原煤粒度：≤300mm；最大粒度：400mm</w:t>
      </w:r>
    </w:p>
    <w:p w14:paraId="43474726">
      <w:pPr>
        <w:tabs>
          <w:tab w:val="left" w:pos="0"/>
        </w:tabs>
        <w:spacing w:line="360" w:lineRule="auto"/>
        <w:ind w:firstLine="480" w:firstLineChars="200"/>
        <w:rPr>
          <w:rFonts w:hint="eastAsia"/>
          <w:sz w:val="24"/>
          <w:highlight w:val="none"/>
        </w:rPr>
      </w:pPr>
      <w:r>
        <w:rPr>
          <w:rFonts w:hint="eastAsia"/>
          <w:sz w:val="24"/>
          <w:highlight w:val="none"/>
        </w:rPr>
        <w:t>散状密度：约1.0t/m3；</w:t>
      </w:r>
    </w:p>
    <w:p w14:paraId="47AF7496">
      <w:pPr>
        <w:tabs>
          <w:tab w:val="left" w:pos="0"/>
        </w:tabs>
        <w:spacing w:line="360" w:lineRule="auto"/>
        <w:ind w:firstLine="480" w:firstLineChars="200"/>
        <w:rPr>
          <w:rFonts w:hint="default"/>
          <w:highlight w:val="none"/>
          <w:lang w:val="en-US" w:eastAsia="zh-CN"/>
        </w:rPr>
      </w:pPr>
      <w:r>
        <w:rPr>
          <w:rFonts w:hint="eastAsia"/>
          <w:sz w:val="24"/>
          <w:highlight w:val="none"/>
        </w:rPr>
        <w:t>安息角：静安息角约40°，动安息角约20°。</w:t>
      </w:r>
    </w:p>
    <w:p w14:paraId="2ACF7B87">
      <w:pPr>
        <w:numPr>
          <w:ilvl w:val="0"/>
          <w:numId w:val="2"/>
        </w:numPr>
        <w:jc w:val="both"/>
        <w:rPr>
          <w:rFonts w:hint="default"/>
          <w:b/>
          <w:bCs/>
          <w:color w:val="auto"/>
          <w:sz w:val="30"/>
          <w:szCs w:val="30"/>
          <w:highlight w:val="none"/>
          <w:u w:val="none"/>
          <w:lang w:val="en-US" w:eastAsia="zh-CN"/>
        </w:rPr>
      </w:pPr>
      <w:r>
        <w:rPr>
          <w:rStyle w:val="19"/>
          <w:rFonts w:hint="eastAsia"/>
          <w:b/>
          <w:color w:val="auto"/>
          <w:sz w:val="30"/>
          <w:szCs w:val="30"/>
          <w:highlight w:val="none"/>
          <w:u w:val="none"/>
        </w:rPr>
        <w:t>主要设计</w:t>
      </w:r>
      <w:r>
        <w:rPr>
          <w:rStyle w:val="19"/>
          <w:rFonts w:hint="eastAsia"/>
          <w:b/>
          <w:color w:val="auto"/>
          <w:sz w:val="30"/>
          <w:szCs w:val="30"/>
          <w:highlight w:val="none"/>
          <w:u w:val="none"/>
          <w:lang w:val="en-US" w:eastAsia="zh-CN"/>
        </w:rPr>
        <w:t>条件及改造范围</w:t>
      </w:r>
    </w:p>
    <w:p w14:paraId="1F117939">
      <w:pPr>
        <w:tabs>
          <w:tab w:val="left" w:pos="0"/>
        </w:tabs>
        <w:spacing w:line="360" w:lineRule="auto"/>
        <w:ind w:left="0" w:leftChars="0" w:firstLine="0" w:firstLineChars="0"/>
        <w:rPr>
          <w:rFonts w:hint="default"/>
          <w:b/>
          <w:bCs/>
          <w:sz w:val="24"/>
          <w:highlight w:val="none"/>
          <w:lang w:val="en-US" w:eastAsia="zh-CN"/>
        </w:rPr>
      </w:pPr>
      <w:r>
        <w:rPr>
          <w:rFonts w:hint="eastAsia"/>
          <w:b/>
          <w:bCs/>
          <w:sz w:val="24"/>
          <w:highlight w:val="none"/>
          <w:lang w:val="en-US" w:eastAsia="zh-CN"/>
        </w:rPr>
        <w:t>1、改造背景</w:t>
      </w:r>
    </w:p>
    <w:p w14:paraId="57B6A1F1">
      <w:pPr>
        <w:tabs>
          <w:tab w:val="left" w:pos="0"/>
        </w:tabs>
        <w:spacing w:line="360" w:lineRule="auto"/>
        <w:ind w:firstLine="480" w:firstLineChars="200"/>
        <w:rPr>
          <w:rFonts w:hint="eastAsia"/>
          <w:sz w:val="24"/>
          <w:highlight w:val="none"/>
          <w:lang w:eastAsia="zh-CN"/>
        </w:rPr>
      </w:pPr>
      <w:r>
        <w:rPr>
          <w:rFonts w:hint="eastAsia"/>
          <w:sz w:val="24"/>
          <w:highlight w:val="none"/>
          <w:lang w:val="en-US" w:eastAsia="zh-CN"/>
        </w:rPr>
        <w:t>汽车煤车辆通过人为组织进厂排队完成登记、采样、计量等工作，</w:t>
      </w:r>
      <w:r>
        <w:rPr>
          <w:rFonts w:hint="eastAsia"/>
          <w:sz w:val="24"/>
          <w:highlight w:val="none"/>
          <w:lang w:eastAsia="zh-CN"/>
        </w:rPr>
        <w:t>汽车煤接卸</w:t>
      </w:r>
      <w:r>
        <w:rPr>
          <w:rFonts w:hint="eastAsia"/>
          <w:sz w:val="24"/>
          <w:highlight w:val="none"/>
          <w:lang w:val="en-US" w:eastAsia="zh-CN"/>
        </w:rPr>
        <w:t>依靠2</w:t>
      </w:r>
      <w:r>
        <w:rPr>
          <w:rFonts w:hint="eastAsia"/>
          <w:sz w:val="24"/>
          <w:highlight w:val="none"/>
          <w:lang w:eastAsia="zh-CN"/>
        </w:rPr>
        <w:t>台</w:t>
      </w:r>
      <w:r>
        <w:rPr>
          <w:rFonts w:hint="eastAsia"/>
          <w:sz w:val="24"/>
          <w:highlight w:val="none"/>
          <w:lang w:val="en-US" w:eastAsia="zh-CN"/>
        </w:rPr>
        <w:t>北京通尼</w:t>
      </w:r>
      <w:r>
        <w:rPr>
          <w:rFonts w:hint="eastAsia"/>
          <w:sz w:val="24"/>
          <w:highlight w:val="none"/>
          <w:lang w:eastAsia="zh-CN"/>
        </w:rPr>
        <w:t>LT232</w:t>
      </w:r>
      <w:r>
        <w:rPr>
          <w:rFonts w:hint="eastAsia"/>
          <w:sz w:val="24"/>
          <w:highlight w:val="none"/>
          <w:lang w:val="en-US" w:eastAsia="zh-CN"/>
        </w:rPr>
        <w:t>系列</w:t>
      </w:r>
      <w:r>
        <w:rPr>
          <w:rFonts w:hint="eastAsia"/>
          <w:sz w:val="24"/>
          <w:highlight w:val="none"/>
          <w:lang w:eastAsia="zh-CN"/>
        </w:rPr>
        <w:t>采样</w:t>
      </w:r>
      <w:r>
        <w:rPr>
          <w:rFonts w:hint="eastAsia"/>
          <w:sz w:val="24"/>
          <w:highlight w:val="none"/>
          <w:lang w:val="en-US" w:eastAsia="zh-CN"/>
        </w:rPr>
        <w:t>设备完成</w:t>
      </w:r>
      <w:r>
        <w:rPr>
          <w:rFonts w:hint="eastAsia"/>
          <w:sz w:val="24"/>
          <w:highlight w:val="none"/>
          <w:lang w:eastAsia="zh-CN"/>
        </w:rPr>
        <w:t>，人工辅助</w:t>
      </w:r>
      <w:r>
        <w:rPr>
          <w:rFonts w:hint="eastAsia"/>
          <w:sz w:val="24"/>
          <w:highlight w:val="none"/>
          <w:lang w:val="en-US" w:eastAsia="zh-CN"/>
        </w:rPr>
        <w:t>采样选点、接送煤样</w:t>
      </w:r>
      <w:r>
        <w:rPr>
          <w:rFonts w:hint="eastAsia"/>
          <w:sz w:val="24"/>
          <w:highlight w:val="none"/>
          <w:lang w:eastAsia="zh-CN"/>
        </w:rPr>
        <w:t>存在着工作繁琐，人为因素风险大，机械化程度低，工作效率低，劳动强度大，工作环境差，危害人体健康等问题。</w:t>
      </w:r>
    </w:p>
    <w:p w14:paraId="38F50C0E">
      <w:pPr>
        <w:spacing w:line="360" w:lineRule="auto"/>
        <w:ind w:firstLine="480"/>
        <w:rPr>
          <w:rFonts w:hint="eastAsia"/>
          <w:sz w:val="24"/>
          <w:highlight w:val="none"/>
          <w:lang w:val="en-US" w:eastAsia="zh-CN"/>
        </w:rPr>
      </w:pPr>
      <w:r>
        <w:rPr>
          <w:rFonts w:hint="eastAsia"/>
          <w:sz w:val="24"/>
          <w:highlight w:val="none"/>
          <w:lang w:val="en-US" w:eastAsia="zh-CN"/>
        </w:rPr>
        <w:t>现</w:t>
      </w:r>
      <w:r>
        <w:rPr>
          <w:rFonts w:hint="eastAsia"/>
          <w:sz w:val="24"/>
          <w:highlight w:val="none"/>
          <w:lang w:eastAsia="zh-CN"/>
        </w:rPr>
        <w:t>通</w:t>
      </w:r>
      <w:r>
        <w:rPr>
          <w:rFonts w:hint="eastAsia"/>
          <w:sz w:val="24"/>
          <w:highlight w:val="none"/>
          <w:lang w:val="en-US" w:eastAsia="zh-CN"/>
        </w:rPr>
        <w:t>北京</w:t>
      </w:r>
      <w:r>
        <w:rPr>
          <w:rFonts w:hint="eastAsia"/>
          <w:sz w:val="24"/>
          <w:highlight w:val="none"/>
          <w:lang w:eastAsia="zh-CN"/>
        </w:rPr>
        <w:t>尼公司</w:t>
      </w:r>
      <w:r>
        <w:rPr>
          <w:rFonts w:hint="eastAsia"/>
          <w:sz w:val="24"/>
          <w:highlight w:val="none"/>
          <w:lang w:val="en-US" w:eastAsia="zh-CN"/>
        </w:rPr>
        <w:t>已不生产采样设备，造成备件采购困难，设备故障率较高（螺旋钻杆、采样刀头磨损严重，破碎缩分设备设计冗余量不足，液压系统内漏，行走机构锈蚀严重、控制系统软硬件老化等）。</w:t>
      </w:r>
    </w:p>
    <w:p w14:paraId="1B41F79A">
      <w:pPr>
        <w:numPr>
          <w:ilvl w:val="0"/>
          <w:numId w:val="3"/>
        </w:numPr>
        <w:tabs>
          <w:tab w:val="left" w:pos="0"/>
        </w:tabs>
        <w:spacing w:line="360" w:lineRule="auto"/>
        <w:rPr>
          <w:rFonts w:hint="eastAsia"/>
          <w:b/>
          <w:bCs/>
          <w:sz w:val="24"/>
          <w:highlight w:val="none"/>
          <w:lang w:val="en-US" w:eastAsia="zh-CN"/>
        </w:rPr>
      </w:pPr>
      <w:r>
        <w:rPr>
          <w:rFonts w:hint="eastAsia"/>
          <w:b/>
          <w:bCs/>
          <w:sz w:val="24"/>
          <w:highlight w:val="none"/>
          <w:lang w:val="en-US" w:eastAsia="zh-CN"/>
        </w:rPr>
        <w:t>主要设计条件</w:t>
      </w:r>
    </w:p>
    <w:p w14:paraId="4E1B428F">
      <w:pPr>
        <w:spacing w:line="360" w:lineRule="auto"/>
        <w:ind w:firstLine="480"/>
        <w:rPr>
          <w:rFonts w:hint="eastAsia"/>
          <w:sz w:val="24"/>
          <w:highlight w:val="none"/>
          <w:lang w:val="en-US" w:eastAsia="zh-CN"/>
        </w:rPr>
      </w:pPr>
      <w:r>
        <w:rPr>
          <w:rFonts w:hint="eastAsia"/>
          <w:sz w:val="24"/>
          <w:highlight w:val="none"/>
          <w:lang w:val="en-US" w:eastAsia="zh-CN"/>
        </w:rPr>
        <w:t>实现四川泸州川南发电有限责任公司汽车入厂煤采样、计量等环节无人化操作，满足入厂运煤车辆无人化管理等要求，达到计划在现有两台汽车采样机基础上改造，拆除原有汽车采样机，采样间，保留原有汽车采样机钢结构，新增汽车煤入厂管理系统</w:t>
      </w:r>
      <w:r>
        <w:rPr>
          <w:rFonts w:hint="eastAsia"/>
          <w:sz w:val="24"/>
          <w:highlight w:val="none"/>
          <w:lang w:val="en-US" w:eastAsia="zh"/>
          <w:woUserID w:val="1"/>
        </w:rPr>
        <w:t>与</w:t>
      </w:r>
      <w:r>
        <w:rPr>
          <w:rFonts w:hint="eastAsia"/>
          <w:sz w:val="24"/>
          <w:highlight w:val="none"/>
          <w:lang w:val="en-US" w:eastAsia="zh-CN"/>
        </w:rPr>
        <w:t>汽车入厂识别系统，获取来煤车辆信息和煤场信息，自动对煤样进行采样归批，来实现无人操作采样系统。本方案综合利用信息技术、网络技术、控制技术，实现入厂汽车煤自动化采样。</w:t>
      </w:r>
    </w:p>
    <w:p w14:paraId="08E2BEA5">
      <w:pPr>
        <w:numPr>
          <w:ilvl w:val="0"/>
          <w:numId w:val="0"/>
        </w:numPr>
        <w:tabs>
          <w:tab w:val="left" w:pos="0"/>
        </w:tabs>
        <w:spacing w:line="360" w:lineRule="auto"/>
        <w:rPr>
          <w:rFonts w:hint="default"/>
          <w:b/>
          <w:bCs/>
          <w:sz w:val="24"/>
          <w:highlight w:val="none"/>
          <w:lang w:val="en-US" w:eastAsia="zh-CN"/>
        </w:rPr>
      </w:pPr>
      <w:r>
        <w:rPr>
          <w:rFonts w:hint="eastAsia"/>
          <w:b/>
          <w:bCs/>
          <w:sz w:val="24"/>
          <w:highlight w:val="none"/>
          <w:lang w:val="en-US" w:eastAsia="zh-CN"/>
        </w:rPr>
        <w:t>3、改造范围</w:t>
      </w:r>
    </w:p>
    <w:p w14:paraId="12BF32EA">
      <w:pPr>
        <w:tabs>
          <w:tab w:val="left" w:pos="0"/>
        </w:tabs>
        <w:spacing w:line="360" w:lineRule="auto"/>
        <w:ind w:firstLine="480" w:firstLineChars="200"/>
        <w:rPr>
          <w:rFonts w:hint="eastAsia"/>
          <w:sz w:val="24"/>
          <w:highlight w:val="none"/>
          <w:lang w:val="en-US" w:eastAsia="zh-CN"/>
        </w:rPr>
      </w:pPr>
      <w:r>
        <w:rPr>
          <w:rFonts w:hint="eastAsia"/>
          <w:sz w:val="24"/>
          <w:highlight w:val="none"/>
          <w:lang w:val="en-US" w:eastAsia="zh-CN"/>
        </w:rPr>
        <w:t>3.1拆除原采样设备（并转运至指定地点）</w:t>
      </w:r>
    </w:p>
    <w:p w14:paraId="45411984">
      <w:pPr>
        <w:tabs>
          <w:tab w:val="left" w:pos="0"/>
        </w:tabs>
        <w:spacing w:line="360" w:lineRule="auto"/>
        <w:ind w:firstLine="480" w:firstLineChars="200"/>
        <w:rPr>
          <w:rFonts w:hint="eastAsia"/>
          <w:sz w:val="24"/>
          <w:highlight w:val="none"/>
          <w:lang w:val="en-US" w:eastAsia="zh-CN"/>
        </w:rPr>
      </w:pPr>
      <w:r>
        <w:rPr>
          <w:rFonts w:hint="eastAsia"/>
          <w:sz w:val="24"/>
          <w:highlight w:val="none"/>
          <w:lang w:val="en-US" w:eastAsia="zh-CN"/>
        </w:rPr>
        <w:t>3.2安装新采样设备（包含但不限于设计、供货、安装、调试、试验、性能检测等）</w:t>
      </w:r>
    </w:p>
    <w:p w14:paraId="04C531B6">
      <w:pPr>
        <w:tabs>
          <w:tab w:val="left" w:pos="0"/>
        </w:tabs>
        <w:spacing w:line="360" w:lineRule="auto"/>
        <w:ind w:firstLine="480" w:firstLineChars="200"/>
        <w:rPr>
          <w:rFonts w:hint="eastAsia"/>
          <w:sz w:val="24"/>
          <w:highlight w:val="none"/>
          <w:lang w:val="en-US" w:eastAsia="zh-CN"/>
        </w:rPr>
      </w:pPr>
      <w:r>
        <w:rPr>
          <w:rFonts w:hint="eastAsia"/>
          <w:sz w:val="24"/>
          <w:highlight w:val="none"/>
          <w:lang w:val="en-US" w:eastAsia="zh-CN"/>
        </w:rPr>
        <w:t>3.3供货范围（包含但不限于，由响应人填写或增加）</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3"/>
        <w:gridCol w:w="2088"/>
        <w:gridCol w:w="4532"/>
        <w:gridCol w:w="510"/>
        <w:gridCol w:w="706"/>
        <w:gridCol w:w="609"/>
      </w:tblGrid>
      <w:tr w14:paraId="1A9A0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6FE65">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序号</w:t>
            </w:r>
          </w:p>
        </w:tc>
        <w:tc>
          <w:tcPr>
            <w:tcW w:w="1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E5FB0">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名称</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B5254">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规格型号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AAACD">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数量</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2B0D5">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单位</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5ACF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备注</w:t>
            </w:r>
          </w:p>
        </w:tc>
      </w:tr>
      <w:tr w14:paraId="0E1D5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D26C6">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一</w:t>
            </w:r>
          </w:p>
        </w:tc>
        <w:tc>
          <w:tcPr>
            <w:tcW w:w="1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0A37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汽车采样机设备本体</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00B3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B664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3CEC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2F0B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r>
      <w:tr w14:paraId="21B6A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11AC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C0879">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汽车采样机</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FB44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全断面螺旋采样，采样筒φ273mm</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F33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2</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353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9CCB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r>
      <w:tr w14:paraId="2969B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75C15">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25EF5">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000000"/>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自动封装系统</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1245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000000"/>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8工位，煤样桶容积30L</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4FFA0">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000000"/>
                <w:sz w:val="22"/>
                <w:szCs w:val="22"/>
                <w:highlight w:val="none"/>
                <w:u w:val="none"/>
                <w:lang w:eastAsia="zh"/>
                <w:woUserID w:val="1"/>
              </w:rPr>
            </w:pPr>
            <w:r>
              <w:rPr>
                <w:rFonts w:hint="eastAsia" w:ascii="宋体" w:hAnsi="宋体" w:eastAsia="宋体" w:cs="宋体"/>
                <w:i w:val="0"/>
                <w:iCs w:val="0"/>
                <w:kern w:val="0"/>
                <w:sz w:val="22"/>
                <w:szCs w:val="22"/>
                <w:highlight w:val="none"/>
                <w:lang w:val="en-US" w:eastAsia="zh-CN" w:bidi="ar"/>
                <w:woUserID w:val="1"/>
              </w:rPr>
              <w:t>2</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9B8D7">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000000"/>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21E6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r>
      <w:tr w14:paraId="39922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01A1">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A6E2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煤样桶</w:t>
            </w:r>
          </w:p>
        </w:tc>
        <w:tc>
          <w:tcPr>
            <w:tcW w:w="1531" w:type="pct"/>
            <w:tcBorders>
              <w:top w:val="nil"/>
              <w:left w:val="nil"/>
              <w:bottom w:val="nil"/>
              <w:right w:val="nil"/>
            </w:tcBorders>
            <w:shd w:val="clear" w:color="auto" w:fill="auto"/>
            <w:vAlign w:val="center"/>
          </w:tcPr>
          <w:p w14:paraId="2EBB9A81">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备用煤样桶，容积30L，不锈钢材质</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C02E">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16</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EA15C">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6E73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i w:val="0"/>
                <w:iCs w:val="0"/>
                <w:color w:val="auto"/>
                <w:sz w:val="21"/>
                <w:szCs w:val="21"/>
                <w:highlight w:val="none"/>
                <w:u w:val="none"/>
                <w:woUserID w:val="1"/>
              </w:rPr>
            </w:pPr>
          </w:p>
        </w:tc>
      </w:tr>
      <w:tr w14:paraId="13968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6A84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sz w:val="21"/>
                <w:szCs w:val="21"/>
                <w:highlight w:val="none"/>
                <w:u w:val="none"/>
                <w:woUserID w:val="1"/>
              </w:rPr>
            </w:pPr>
            <w:r>
              <w:rPr>
                <w:rFonts w:hint="eastAsia" w:ascii="宋体" w:hAnsi="宋体" w:eastAsia="宋体" w:cs="宋体"/>
                <w:i w:val="0"/>
                <w:iCs w:val="0"/>
                <w:color w:val="000000"/>
                <w:kern w:val="0"/>
                <w:sz w:val="22"/>
                <w:szCs w:val="22"/>
                <w:highlight w:val="none"/>
                <w:lang w:val="en-US" w:eastAsia="zh-CN" w:bidi="ar"/>
                <w:woUserID w:val="1"/>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9A73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color w:val="000000"/>
                <w:kern w:val="0"/>
                <w:sz w:val="22"/>
                <w:szCs w:val="22"/>
                <w:highlight w:val="none"/>
                <w:lang w:val="en-US" w:eastAsia="zh-CN" w:bidi="ar"/>
                <w:woUserID w:val="1"/>
              </w:rPr>
              <w:t>人工扫码开盖装置</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E2D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color w:val="000000"/>
                <w:kern w:val="0"/>
                <w:sz w:val="22"/>
                <w:szCs w:val="22"/>
                <w:highlight w:val="none"/>
                <w:lang w:val="en-US" w:eastAsia="zh-CN" w:bidi="ar"/>
                <w:woUserID w:val="1"/>
              </w:rPr>
              <w:t>布置在人工制样室内，对封装密码桶进行读码开盖</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6D47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color w:val="000000"/>
                <w:kern w:val="0"/>
                <w:sz w:val="22"/>
                <w:szCs w:val="22"/>
                <w:highlight w:val="none"/>
                <w:lang w:val="en-US" w:eastAsia="zh-CN"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23D0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sz w:val="22"/>
                <w:szCs w:val="22"/>
                <w:highlight w:val="none"/>
                <w:u w:val="none"/>
                <w:woUserID w:val="1"/>
              </w:rPr>
            </w:pPr>
            <w:r>
              <w:rPr>
                <w:rStyle w:val="26"/>
                <w:rFonts w:hint="eastAsia" w:ascii="宋体" w:hAnsi="宋体" w:eastAsia="宋体" w:cs="宋体"/>
                <w:color w:val="000000"/>
                <w:kern w:val="2"/>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1A59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00ADD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478B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1"/>
                <w:szCs w:val="21"/>
                <w:highlight w:val="none"/>
                <w:u w:val="none"/>
                <w:woUserID w:val="1"/>
              </w:rPr>
            </w:pPr>
            <w:r>
              <w:rPr>
                <w:rFonts w:hint="eastAsia" w:ascii="宋体" w:hAnsi="宋体" w:eastAsia="宋体" w:cs="宋体"/>
                <w:b/>
                <w:bCs/>
                <w:i w:val="0"/>
                <w:iCs w:val="0"/>
                <w:kern w:val="0"/>
                <w:sz w:val="22"/>
                <w:szCs w:val="22"/>
                <w:highlight w:val="none"/>
                <w:lang w:val="en-US" w:eastAsia="zh-CN" w:bidi="ar"/>
                <w:woUserID w:val="1"/>
              </w:rPr>
              <w:t>二</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8996E">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b/>
                <w:bCs/>
                <w:i w:val="0"/>
                <w:iCs w:val="0"/>
                <w:kern w:val="0"/>
                <w:sz w:val="22"/>
                <w:szCs w:val="22"/>
                <w:highlight w:val="none"/>
                <w:lang w:val="en-US" w:eastAsia="zh-CN" w:bidi="ar"/>
                <w:woUserID w:val="1"/>
              </w:rPr>
              <w:t>入厂管理系统</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53AE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FB60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19D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D5DD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215B1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F8E4C">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i w:val="0"/>
                <w:iCs w:val="0"/>
                <w:kern w:val="0"/>
                <w:sz w:val="21"/>
                <w:szCs w:val="21"/>
                <w:highlight w:val="none"/>
                <w:lang w:val="en-US" w:eastAsia="zh-CN" w:bidi="ar"/>
                <w:woUserID w:val="1"/>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2D9E4">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i w:val="0"/>
                <w:iCs w:val="0"/>
                <w:kern w:val="0"/>
                <w:sz w:val="22"/>
                <w:szCs w:val="22"/>
                <w:highlight w:val="none"/>
                <w:lang w:val="en-US" w:eastAsia="zh-CN" w:bidi="ar"/>
                <w:woUserID w:val="1"/>
              </w:rPr>
              <w:t>汽车煤入厂管理系统</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305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管理软件</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05C4">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A3530">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A960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78E04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BB0EE">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i w:val="0"/>
                <w:iCs w:val="0"/>
                <w:kern w:val="0"/>
                <w:sz w:val="21"/>
                <w:szCs w:val="21"/>
                <w:highlight w:val="none"/>
                <w:lang w:val="en-US" w:eastAsia="zh-CN" w:bidi="ar"/>
                <w:woUserID w:val="1"/>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72F9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i w:val="0"/>
                <w:iCs w:val="0"/>
                <w:kern w:val="0"/>
                <w:sz w:val="22"/>
                <w:szCs w:val="22"/>
                <w:highlight w:val="none"/>
                <w:lang w:val="en-US" w:eastAsia="zh-CN" w:bidi="ar"/>
                <w:woUserID w:val="1"/>
              </w:rPr>
              <w:t>汽车入厂管理系统集成硬件</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E566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包含出入厂门岗、2台重磅2台轻磅、2台汽采</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CF0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6982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67D2D">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门岗、采样机</w:t>
            </w:r>
          </w:p>
        </w:tc>
      </w:tr>
      <w:tr w14:paraId="1400F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778DC">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三</w:t>
            </w:r>
          </w:p>
        </w:tc>
        <w:tc>
          <w:tcPr>
            <w:tcW w:w="1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5CA4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第三方性能鉴定费</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6F1F6">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具有资质的第三方机构</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739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2</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1CA7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台/套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498C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7367E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5DD4C">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四</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292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采样机附属工程</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106F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73DF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524F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DDE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6678E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58EA6">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1"/>
                <w:szCs w:val="21"/>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FEFB">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1"/>
                <w:szCs w:val="21"/>
                <w:highlight w:val="none"/>
                <w:lang w:val="en-US" w:eastAsia="zh-CN" w:bidi="ar"/>
                <w:woUserID w:val="1"/>
              </w:rPr>
              <w:t>汽车采样机钢结构棚架</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E3E5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跨度7.7m，长度18m，高度约13.5m，包含地下基础，车道及汽车采样区域周边地面硬化</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DC217">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2</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D0B4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B5230">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i w:val="0"/>
                <w:iCs w:val="0"/>
                <w:color w:val="auto"/>
                <w:sz w:val="22"/>
                <w:szCs w:val="22"/>
                <w:highlight w:val="none"/>
                <w:u w:val="none"/>
                <w:lang w:val="en-US" w:eastAsia="zh-CN"/>
                <w:woUserID w:val="1"/>
              </w:rPr>
            </w:pPr>
          </w:p>
        </w:tc>
      </w:tr>
      <w:tr w14:paraId="11B95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C2C6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b/>
                <w:bCs/>
                <w:i w:val="0"/>
                <w:iCs w:val="0"/>
                <w:kern w:val="0"/>
                <w:sz w:val="22"/>
                <w:szCs w:val="22"/>
                <w:highlight w:val="none"/>
                <w:lang w:val="en-US" w:eastAsia="zh-CN" w:bidi="ar"/>
                <w:woUserID w:val="1"/>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D58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新建采制楼</w:t>
            </w:r>
          </w:p>
        </w:tc>
        <w:tc>
          <w:tcPr>
            <w:tcW w:w="1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28A2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采用钢结构板房形式</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F8F0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108</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4159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4BCD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i w:val="0"/>
                <w:iCs w:val="0"/>
                <w:color w:val="auto"/>
                <w:sz w:val="22"/>
                <w:szCs w:val="22"/>
                <w:highlight w:val="none"/>
                <w:u w:val="none"/>
                <w:woUserID w:val="1"/>
              </w:rPr>
            </w:pPr>
          </w:p>
        </w:tc>
      </w:tr>
      <w:tr w14:paraId="5A889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52C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b/>
                <w:bCs/>
                <w:i w:val="0"/>
                <w:iCs w:val="0"/>
                <w:kern w:val="0"/>
                <w:sz w:val="21"/>
                <w:szCs w:val="21"/>
                <w:highlight w:val="none"/>
                <w:lang w:val="en-US" w:eastAsia="zh-CN" w:bidi="ar"/>
                <w:woUserID w:val="1"/>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318A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设备电源</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A03D3">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2"/>
                <w:sz w:val="22"/>
                <w:szCs w:val="22"/>
                <w:highlight w:val="none"/>
                <w:lang w:val="en-US" w:eastAsia="zh-CN" w:bidi="ar"/>
                <w:woUserID w:val="1"/>
              </w:rPr>
              <w:t>采购人提供主电源电缆接入至汽车采样机电控柜处，响应人负责设备内部电缆</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6854">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5A4CE">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color w:val="auto"/>
                <w:sz w:val="22"/>
                <w:szCs w:val="22"/>
                <w:highlight w:val="none"/>
                <w:u w:val="none"/>
                <w:woUserID w:val="1"/>
              </w:rPr>
            </w:pPr>
            <w:r>
              <w:rPr>
                <w:rFonts w:hint="eastAsia" w:ascii="宋体" w:hAnsi="宋体" w:eastAsia="宋体" w:cs="宋体"/>
                <w:i w:val="0"/>
                <w:iCs w:val="0"/>
                <w:kern w:val="0"/>
                <w:sz w:val="22"/>
                <w:szCs w:val="22"/>
                <w:highlight w:val="none"/>
                <w:lang w:val="en-US" w:eastAsia="zh-CN" w:bidi="ar"/>
                <w:woUserID w:val="1"/>
              </w:rPr>
              <w:t>项</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A721B">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highlight w:val="none"/>
                <w:woUserID w:val="1"/>
              </w:rPr>
            </w:pPr>
          </w:p>
          <w:p w14:paraId="0904BB4D">
            <w:pPr>
              <w:pStyle w:val="2"/>
              <w:keepNext w:val="0"/>
              <w:keepLines w:val="0"/>
              <w:suppressLineNumbers w:val="0"/>
              <w:spacing w:before="0" w:beforeAutospacing="0" w:after="0" w:afterAutospacing="0"/>
              <w:ind w:left="0" w:right="0"/>
              <w:rPr>
                <w:rFonts w:hint="eastAsia"/>
                <w:highlight w:val="none"/>
              </w:rPr>
            </w:pPr>
          </w:p>
        </w:tc>
      </w:tr>
      <w:tr w14:paraId="2752C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D4F56">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kern w:val="0"/>
                <w:sz w:val="21"/>
                <w:szCs w:val="21"/>
                <w:highlight w:val="none"/>
                <w:lang w:val="en-US" w:eastAsia="zh" w:bidi="ar"/>
                <w:woUserID w:val="1"/>
              </w:rPr>
            </w:pPr>
            <w:r>
              <w:rPr>
                <w:rFonts w:hint="eastAsia" w:ascii="宋体" w:hAnsi="宋体" w:eastAsia="宋体" w:cs="宋体"/>
                <w:b/>
                <w:bCs/>
                <w:i w:val="0"/>
                <w:iCs w:val="0"/>
                <w:kern w:val="0"/>
                <w:sz w:val="21"/>
                <w:szCs w:val="21"/>
                <w:highlight w:val="none"/>
                <w:lang w:val="en-US" w:eastAsia="zh" w:bidi="ar"/>
                <w:woUserID w:val="1"/>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132C6">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监控系统</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B15A1">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2"/>
                <w:sz w:val="22"/>
                <w:szCs w:val="22"/>
                <w:highlight w:val="none"/>
                <w:lang w:val="en-US" w:eastAsia="zh" w:bidi="ar"/>
                <w:woUserID w:val="1"/>
              </w:rPr>
            </w:pPr>
            <w:r>
              <w:rPr>
                <w:rFonts w:hint="eastAsia" w:ascii="宋体" w:hAnsi="宋体" w:eastAsia="宋体" w:cs="宋体"/>
                <w:i w:val="0"/>
                <w:iCs w:val="0"/>
                <w:kern w:val="2"/>
                <w:sz w:val="22"/>
                <w:szCs w:val="22"/>
                <w:highlight w:val="none"/>
                <w:lang w:val="en-US" w:eastAsia="zh" w:bidi="ar"/>
                <w:woUserID w:val="1"/>
              </w:rPr>
              <w:t>监控系统全覆盖汽车煤入厂至出厂全路段及汽车煤采样机、采样室，视频存储时间大于90天</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1AC41">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156B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65D08">
            <w:pPr>
              <w:pStyle w:val="2"/>
              <w:keepNext w:val="0"/>
              <w:keepLines w:val="0"/>
              <w:suppressLineNumbers w:val="0"/>
              <w:spacing w:before="0" w:beforeAutospacing="0" w:after="0" w:afterAutospacing="0"/>
              <w:ind w:left="0" w:leftChars="0" w:right="0" w:firstLine="0" w:firstLineChars="0"/>
              <w:rPr>
                <w:rFonts w:hint="eastAsia"/>
                <w:highlight w:val="none"/>
              </w:rPr>
            </w:pPr>
          </w:p>
        </w:tc>
      </w:tr>
      <w:tr w14:paraId="6B153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15FBA">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b/>
                <w:bCs/>
                <w:i w:val="0"/>
                <w:iCs w:val="0"/>
                <w:kern w:val="0"/>
                <w:sz w:val="21"/>
                <w:szCs w:val="21"/>
                <w:highlight w:val="none"/>
                <w:lang w:val="en-US" w:eastAsia="zh" w:bidi="ar"/>
                <w:woUserID w:val="1"/>
              </w:rPr>
            </w:pPr>
            <w:r>
              <w:rPr>
                <w:rFonts w:hint="eastAsia" w:ascii="宋体" w:hAnsi="宋体" w:eastAsia="宋体" w:cs="宋体"/>
                <w:b/>
                <w:bCs/>
                <w:i w:val="0"/>
                <w:iCs w:val="0"/>
                <w:kern w:val="0"/>
                <w:sz w:val="21"/>
                <w:szCs w:val="21"/>
                <w:highlight w:val="none"/>
                <w:lang w:val="en-US" w:eastAsia="zh" w:bidi="ar"/>
                <w:woUserID w:val="1"/>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4E264">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值班室大屏显示系统</w:t>
            </w:r>
          </w:p>
        </w:tc>
        <w:tc>
          <w:tcPr>
            <w:tcW w:w="1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699F7">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2"/>
                <w:sz w:val="22"/>
                <w:szCs w:val="22"/>
                <w:highlight w:val="none"/>
                <w:lang w:val="en-US" w:eastAsia="zh" w:bidi="ar"/>
                <w:woUserID w:val="1"/>
              </w:rPr>
            </w:pPr>
            <w:r>
              <w:rPr>
                <w:rFonts w:hint="eastAsia" w:ascii="宋体" w:hAnsi="宋体" w:eastAsia="宋体" w:cs="宋体"/>
                <w:i w:val="0"/>
                <w:iCs w:val="0"/>
                <w:kern w:val="2"/>
                <w:sz w:val="22"/>
                <w:szCs w:val="22"/>
                <w:highlight w:val="none"/>
                <w:lang w:val="en-US" w:eastAsia="zh" w:bidi="ar"/>
                <w:woUserID w:val="1"/>
              </w:rPr>
              <w:t>65寸电视两台，配套电脑、支架等，用于显示监控视频及燃料称重系统数据等画面。</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DCDC9">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1</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DF0E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宋体" w:hAnsi="宋体" w:eastAsia="宋体" w:cs="宋体"/>
                <w:i w:val="0"/>
                <w:iCs w:val="0"/>
                <w:kern w:val="0"/>
                <w:sz w:val="22"/>
                <w:szCs w:val="22"/>
                <w:highlight w:val="none"/>
                <w:lang w:val="en-US" w:eastAsia="zh" w:bidi="ar"/>
                <w:woUserID w:val="1"/>
              </w:rPr>
            </w:pPr>
            <w:r>
              <w:rPr>
                <w:rFonts w:hint="eastAsia" w:ascii="宋体" w:hAnsi="宋体" w:eastAsia="宋体" w:cs="宋体"/>
                <w:i w:val="0"/>
                <w:iCs w:val="0"/>
                <w:kern w:val="0"/>
                <w:sz w:val="22"/>
                <w:szCs w:val="22"/>
                <w:highlight w:val="none"/>
                <w:lang w:val="en-US" w:eastAsia="zh" w:bidi="ar"/>
                <w:woUserID w:val="1"/>
              </w:rPr>
              <w:t>套</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3FB7">
            <w:pPr>
              <w:pStyle w:val="2"/>
              <w:keepNext w:val="0"/>
              <w:keepLines w:val="0"/>
              <w:suppressLineNumbers w:val="0"/>
              <w:spacing w:before="0" w:beforeAutospacing="0" w:after="0" w:afterAutospacing="0"/>
              <w:ind w:left="0" w:leftChars="0" w:right="0" w:firstLine="0" w:firstLineChars="0"/>
              <w:rPr>
                <w:rFonts w:hint="eastAsia"/>
                <w:highlight w:val="none"/>
              </w:rPr>
            </w:pPr>
          </w:p>
        </w:tc>
      </w:tr>
    </w:tbl>
    <w:p w14:paraId="0BB230AA">
      <w:pPr>
        <w:pStyle w:val="11"/>
        <w:rPr>
          <w:rFonts w:hint="default"/>
          <w:highlight w:val="none"/>
          <w:lang w:val="en-US" w:eastAsia="zh-CN"/>
        </w:rPr>
      </w:pPr>
    </w:p>
    <w:p w14:paraId="62A9D915">
      <w:pPr>
        <w:numPr>
          <w:ilvl w:val="0"/>
          <w:numId w:val="0"/>
        </w:numPr>
        <w:tabs>
          <w:tab w:val="left" w:pos="0"/>
        </w:tabs>
        <w:spacing w:line="360" w:lineRule="auto"/>
        <w:rPr>
          <w:rFonts w:hint="default"/>
          <w:b/>
          <w:bCs/>
          <w:sz w:val="24"/>
          <w:highlight w:val="none"/>
          <w:lang w:val="en-US" w:eastAsia="zh-CN"/>
        </w:rPr>
      </w:pPr>
      <w:r>
        <w:rPr>
          <w:rFonts w:hint="eastAsia"/>
          <w:sz w:val="24"/>
          <w:highlight w:val="none"/>
        </w:rPr>
        <w:t xml:space="preserve"> </w:t>
      </w:r>
      <w:r>
        <w:rPr>
          <w:rFonts w:hint="eastAsia"/>
          <w:b/>
          <w:bCs/>
          <w:sz w:val="24"/>
          <w:highlight w:val="none"/>
          <w:lang w:val="en-US" w:eastAsia="zh-CN"/>
        </w:rPr>
        <w:t>4、执行标准</w:t>
      </w:r>
    </w:p>
    <w:p w14:paraId="2DF34AA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firstLine="420" w:firstLineChars="20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所有设备的设计、制造、检查、试验及特性都应遵照适用最新版中国国家标准</w:t>
      </w:r>
      <w:r>
        <w:rPr>
          <w:rFonts w:hint="default" w:ascii="Calibri" w:hAnsi="Calibri" w:eastAsia="宋体" w:cs="Times New Roman"/>
          <w:kern w:val="2"/>
          <w:sz w:val="21"/>
          <w:szCs w:val="21"/>
          <w:highlight w:val="none"/>
          <w:lang w:val="en-US" w:eastAsia="zh-CN" w:bidi="ar"/>
          <w:woUserID w:val="1"/>
        </w:rPr>
        <w:t>(GB)</w:t>
      </w:r>
      <w:r>
        <w:rPr>
          <w:rFonts w:hint="eastAsia" w:ascii="宋体" w:hAnsi="宋体" w:eastAsia="宋体" w:cs="宋体"/>
          <w:kern w:val="2"/>
          <w:sz w:val="21"/>
          <w:szCs w:val="21"/>
          <w:highlight w:val="none"/>
          <w:lang w:val="en-US" w:eastAsia="zh-CN" w:bidi="ar"/>
          <w:woUserID w:val="1"/>
        </w:rPr>
        <w:t>以及国际单位制</w:t>
      </w:r>
      <w:r>
        <w:rPr>
          <w:rFonts w:hint="default" w:ascii="Calibri" w:hAnsi="Calibri" w:eastAsia="宋体" w:cs="Calibri"/>
          <w:kern w:val="2"/>
          <w:sz w:val="21"/>
          <w:szCs w:val="21"/>
          <w:highlight w:val="none"/>
          <w:lang w:val="en-US" w:eastAsia="zh-CN" w:bidi="ar"/>
          <w:woUserID w:val="1"/>
        </w:rPr>
        <w:t>(SI)</w:t>
      </w:r>
      <w:r>
        <w:rPr>
          <w:rFonts w:hint="eastAsia" w:ascii="宋体" w:hAnsi="宋体" w:eastAsia="宋体" w:cs="宋体"/>
          <w:kern w:val="2"/>
          <w:sz w:val="21"/>
          <w:szCs w:val="21"/>
          <w:highlight w:val="none"/>
          <w:lang w:val="en-US" w:eastAsia="zh-CN" w:bidi="ar"/>
          <w:woUserID w:val="1"/>
        </w:rPr>
        <w:t>。</w:t>
      </w:r>
    </w:p>
    <w:p w14:paraId="7DC14D23">
      <w:pPr>
        <w:pStyle w:val="14"/>
        <w:keepNext w:val="0"/>
        <w:keepLines w:val="0"/>
        <w:widowControl w:val="0"/>
        <w:suppressLineNumbers w:val="0"/>
        <w:tabs>
          <w:tab w:val="left" w:pos="575"/>
        </w:tabs>
        <w:kinsoku w:val="0"/>
        <w:overflowPunct w:val="0"/>
        <w:autoSpaceDE w:val="0"/>
        <w:autoSpaceDN w:val="0"/>
        <w:spacing w:before="100" w:beforeLines="100" w:beforeAutospacing="0" w:after="0" w:afterAutospacing="1" w:line="360" w:lineRule="auto"/>
        <w:ind w:left="575" w:leftChars="0" w:right="0" w:hanging="575" w:firstLineChars="0"/>
        <w:jc w:val="both"/>
        <w:outlineLvl w:val="2"/>
        <w:rPr>
          <w:rFonts w:hint="eastAsia" w:ascii="黑体" w:hAnsi="宋体" w:eastAsia="宋体" w:cs="Times New Roman"/>
          <w:b/>
          <w:bCs w:val="0"/>
          <w:kern w:val="2"/>
          <w:sz w:val="21"/>
          <w:szCs w:val="21"/>
          <w:highlight w:val="none"/>
          <w:woUserID w:val="1"/>
        </w:rPr>
      </w:pPr>
      <w:r>
        <w:rPr>
          <w:rFonts w:hint="eastAsia" w:ascii="宋体" w:hAnsi="宋体" w:eastAsia="宋体" w:cs="宋体"/>
          <w:b/>
          <w:bCs w:val="0"/>
          <w:kern w:val="2"/>
          <w:sz w:val="24"/>
          <w:szCs w:val="24"/>
          <w:highlight w:val="none"/>
          <w:lang w:val="en-US" w:eastAsia="zh-CN" w:bidi="ar"/>
          <w:woUserID w:val="1"/>
        </w:rPr>
        <w:t>4.1</w:t>
      </w:r>
      <w:r>
        <w:rPr>
          <w:rFonts w:hint="eastAsia" w:ascii="宋体" w:hAnsi="宋体" w:eastAsia="宋体" w:cs="宋体"/>
          <w:b/>
          <w:bCs w:val="0"/>
          <w:kern w:val="2"/>
          <w:sz w:val="21"/>
          <w:szCs w:val="21"/>
          <w:highlight w:val="none"/>
          <w:lang w:val="en-US" w:eastAsia="zh-CN" w:bidi="ar"/>
          <w:woUserID w:val="1"/>
        </w:rPr>
        <w:t>煤炭验收标准</w:t>
      </w:r>
    </w:p>
    <w:tbl>
      <w:tblPr>
        <w:tblStyle w:val="1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16"/>
        <w:gridCol w:w="2439"/>
        <w:gridCol w:w="5701"/>
      </w:tblGrid>
      <w:tr w14:paraId="6A728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PrEx>
        <w:trPr>
          <w:cantSplit/>
          <w:trHeight w:val="468" w:hRule="atLeast"/>
          <w:jc w:val="center"/>
        </w:trPr>
        <w:tc>
          <w:tcPr>
            <w:tcW w:w="404" w:type="pct"/>
            <w:tcBorders>
              <w:top w:val="single" w:color="auto" w:sz="8" w:space="0"/>
              <w:left w:val="single" w:color="auto" w:sz="8" w:space="0"/>
              <w:bottom w:val="single" w:color="auto" w:sz="4" w:space="0"/>
              <w:right w:val="single" w:color="auto" w:sz="4" w:space="0"/>
            </w:tcBorders>
            <w:shd w:val="clear" w:color="auto" w:fill="auto"/>
            <w:vAlign w:val="top"/>
          </w:tcPr>
          <w:p w14:paraId="37747790">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序号</w:t>
            </w:r>
          </w:p>
        </w:tc>
        <w:tc>
          <w:tcPr>
            <w:tcW w:w="1377" w:type="pct"/>
            <w:tcBorders>
              <w:top w:val="single" w:color="auto" w:sz="8" w:space="0"/>
              <w:left w:val="single" w:color="auto" w:sz="4" w:space="0"/>
              <w:bottom w:val="single" w:color="auto" w:sz="4" w:space="0"/>
              <w:right w:val="single" w:color="auto" w:sz="4" w:space="0"/>
            </w:tcBorders>
            <w:shd w:val="clear" w:color="auto" w:fill="auto"/>
            <w:vAlign w:val="top"/>
          </w:tcPr>
          <w:p w14:paraId="3B4AA62D">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标准号</w:t>
            </w:r>
          </w:p>
        </w:tc>
        <w:tc>
          <w:tcPr>
            <w:tcW w:w="3218" w:type="pct"/>
            <w:tcBorders>
              <w:top w:val="single" w:color="auto" w:sz="8" w:space="0"/>
              <w:left w:val="single" w:color="auto" w:sz="4" w:space="0"/>
              <w:bottom w:val="single" w:color="auto" w:sz="4" w:space="0"/>
              <w:right w:val="single" w:color="auto" w:sz="8" w:space="0"/>
            </w:tcBorders>
            <w:shd w:val="clear" w:color="auto" w:fill="auto"/>
            <w:vAlign w:val="top"/>
          </w:tcPr>
          <w:p w14:paraId="3C36E12E">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标准名称</w:t>
            </w:r>
          </w:p>
        </w:tc>
      </w:tr>
      <w:tr w14:paraId="04DFD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7274A95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29F5E97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GB/T3715</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0D9854D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《煤质及煤分析有关术语》</w:t>
            </w:r>
          </w:p>
        </w:tc>
      </w:tr>
      <w:tr w14:paraId="3B0310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1F8780D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2</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683E1E1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GB/T483</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186D85E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《煤炭分析试验方法一般规定》</w:t>
            </w:r>
          </w:p>
        </w:tc>
      </w:tr>
      <w:tr w14:paraId="268DB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269DF48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3</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0EA9685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GB474</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7D2E7F3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《煤样的制备方法》</w:t>
            </w:r>
          </w:p>
        </w:tc>
      </w:tr>
      <w:tr w14:paraId="374B11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3B74156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4</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40F09A1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GB/T211</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19EF3B0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《煤中全水分的测定方法》</w:t>
            </w:r>
          </w:p>
        </w:tc>
      </w:tr>
      <w:tr w14:paraId="2008B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47DD9AC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5</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5E415EA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GB/T212</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2016C7B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《煤的工业分析方法》</w:t>
            </w:r>
          </w:p>
        </w:tc>
      </w:tr>
      <w:tr w14:paraId="516A6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259E5E5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6</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4AC2840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GB/T213</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366E639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《煤的发热量测定方法》</w:t>
            </w:r>
          </w:p>
        </w:tc>
      </w:tr>
      <w:tr w14:paraId="2AEC51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59F19E0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7</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07A568B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GB/T214</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6E2A0C6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《煤中全硫的测定方法》</w:t>
            </w:r>
          </w:p>
        </w:tc>
      </w:tr>
      <w:tr w14:paraId="3354F3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7729374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8</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27C3595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GB/T476</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0F954B9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《煤中碳和氢的检测方法》</w:t>
            </w:r>
          </w:p>
        </w:tc>
      </w:tr>
      <w:tr w14:paraId="6AD6F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20AC64D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9</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587E4A8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GB/T219</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02DEFE1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《煤灰熔融性的测定方法》</w:t>
            </w:r>
          </w:p>
        </w:tc>
      </w:tr>
      <w:tr w14:paraId="62783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3B4040F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10</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5A0077C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GB/T19494.1</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491A964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《煤炭机械化采样</w:t>
            </w:r>
            <w:r>
              <w:rPr>
                <w:rFonts w:hint="eastAsia" w:ascii="Calibri" w:hAnsi="Calibri" w:eastAsia="宋体" w:cs="宋体"/>
                <w:iCs/>
                <w:kern w:val="2"/>
                <w:sz w:val="21"/>
                <w:szCs w:val="21"/>
                <w:highlight w:val="none"/>
                <w:lang w:val="en-US" w:eastAsia="zh-CN" w:bidi="ar"/>
                <w:woUserID w:val="1"/>
              </w:rPr>
              <w:t xml:space="preserve"> </w:t>
            </w:r>
            <w:r>
              <w:rPr>
                <w:rFonts w:hint="eastAsia" w:ascii="宋体" w:hAnsi="宋体" w:eastAsia="宋体" w:cs="宋体"/>
                <w:iCs/>
                <w:kern w:val="2"/>
                <w:sz w:val="21"/>
                <w:szCs w:val="21"/>
                <w:highlight w:val="none"/>
                <w:lang w:val="en-US" w:eastAsia="zh-CN" w:bidi="ar"/>
                <w:woUserID w:val="1"/>
              </w:rPr>
              <w:t>第一部分：采样方法》</w:t>
            </w:r>
          </w:p>
        </w:tc>
      </w:tr>
      <w:tr w14:paraId="2A5077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70BF5D2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11</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52BA781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GB/T19494.2</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0F30682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《煤炭机械化采样</w:t>
            </w:r>
            <w:r>
              <w:rPr>
                <w:rFonts w:hint="eastAsia" w:ascii="Calibri" w:hAnsi="Calibri" w:eastAsia="宋体" w:cs="宋体"/>
                <w:iCs/>
                <w:kern w:val="2"/>
                <w:sz w:val="21"/>
                <w:szCs w:val="21"/>
                <w:highlight w:val="none"/>
                <w:lang w:val="en-US" w:eastAsia="zh-CN" w:bidi="ar"/>
                <w:woUserID w:val="1"/>
              </w:rPr>
              <w:t xml:space="preserve"> </w:t>
            </w:r>
            <w:r>
              <w:rPr>
                <w:rFonts w:hint="eastAsia" w:ascii="宋体" w:hAnsi="宋体" w:eastAsia="宋体" w:cs="宋体"/>
                <w:iCs/>
                <w:kern w:val="2"/>
                <w:sz w:val="21"/>
                <w:szCs w:val="21"/>
                <w:highlight w:val="none"/>
                <w:lang w:val="en-US" w:eastAsia="zh-CN" w:bidi="ar"/>
                <w:woUserID w:val="1"/>
              </w:rPr>
              <w:t>第二部分：煤样的制备》</w:t>
            </w:r>
          </w:p>
        </w:tc>
      </w:tr>
      <w:tr w14:paraId="66041E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6380DE9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12</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3EB7371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GB/T19494.3</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0E73A28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《煤炭机械化采样</w:t>
            </w:r>
            <w:r>
              <w:rPr>
                <w:rFonts w:hint="eastAsia" w:ascii="Calibri" w:hAnsi="Calibri" w:eastAsia="宋体" w:cs="宋体"/>
                <w:iCs/>
                <w:kern w:val="2"/>
                <w:sz w:val="21"/>
                <w:szCs w:val="21"/>
                <w:highlight w:val="none"/>
                <w:lang w:val="en-US" w:eastAsia="zh-CN" w:bidi="ar"/>
                <w:woUserID w:val="1"/>
              </w:rPr>
              <w:t xml:space="preserve"> </w:t>
            </w:r>
            <w:r>
              <w:rPr>
                <w:rFonts w:hint="eastAsia" w:ascii="宋体" w:hAnsi="宋体" w:eastAsia="宋体" w:cs="宋体"/>
                <w:iCs/>
                <w:kern w:val="2"/>
                <w:sz w:val="21"/>
                <w:szCs w:val="21"/>
                <w:highlight w:val="none"/>
                <w:lang w:val="en-US" w:eastAsia="zh-CN" w:bidi="ar"/>
                <w:woUserID w:val="1"/>
              </w:rPr>
              <w:t>第三部分：精密度测定和偏倚试验》</w:t>
            </w:r>
          </w:p>
        </w:tc>
      </w:tr>
      <w:tr w14:paraId="78BDA5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6C1F023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13</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54AFDB8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DL/T747</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430D3CF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《发电用煤机械采制样装置性能验收导则》</w:t>
            </w:r>
          </w:p>
        </w:tc>
      </w:tr>
      <w:tr w14:paraId="18D3C0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4" w:space="0"/>
              <w:right w:val="single" w:color="auto" w:sz="4" w:space="0"/>
            </w:tcBorders>
            <w:shd w:val="clear" w:color="auto" w:fill="auto"/>
            <w:vAlign w:val="top"/>
          </w:tcPr>
          <w:p w14:paraId="0BC80C7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14</w:t>
            </w:r>
          </w:p>
        </w:tc>
        <w:tc>
          <w:tcPr>
            <w:tcW w:w="1377" w:type="pct"/>
            <w:tcBorders>
              <w:top w:val="single" w:color="auto" w:sz="4" w:space="0"/>
              <w:left w:val="single" w:color="auto" w:sz="4" w:space="0"/>
              <w:bottom w:val="single" w:color="auto" w:sz="4" w:space="0"/>
              <w:right w:val="single" w:color="auto" w:sz="4" w:space="0"/>
            </w:tcBorders>
            <w:shd w:val="clear" w:color="auto" w:fill="auto"/>
            <w:vAlign w:val="top"/>
          </w:tcPr>
          <w:p w14:paraId="773EF8C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GB/T27025</w:t>
            </w:r>
          </w:p>
        </w:tc>
        <w:tc>
          <w:tcPr>
            <w:tcW w:w="3218" w:type="pct"/>
            <w:tcBorders>
              <w:top w:val="single" w:color="auto" w:sz="4" w:space="0"/>
              <w:left w:val="single" w:color="auto" w:sz="4" w:space="0"/>
              <w:bottom w:val="single" w:color="auto" w:sz="4" w:space="0"/>
              <w:right w:val="single" w:color="auto" w:sz="8" w:space="0"/>
            </w:tcBorders>
            <w:shd w:val="clear" w:color="auto" w:fill="auto"/>
            <w:vAlign w:val="top"/>
          </w:tcPr>
          <w:p w14:paraId="7147ACE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《检测和校准实验室能力的通用要求》</w:t>
            </w:r>
          </w:p>
        </w:tc>
      </w:tr>
      <w:tr w14:paraId="69A1A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04" w:type="pct"/>
            <w:tcBorders>
              <w:top w:val="single" w:color="auto" w:sz="4" w:space="0"/>
              <w:left w:val="single" w:color="auto" w:sz="8" w:space="0"/>
              <w:bottom w:val="single" w:color="auto" w:sz="8" w:space="0"/>
              <w:right w:val="single" w:color="auto" w:sz="4" w:space="0"/>
            </w:tcBorders>
            <w:shd w:val="clear" w:color="auto" w:fill="auto"/>
            <w:vAlign w:val="top"/>
          </w:tcPr>
          <w:p w14:paraId="6033B94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15</w:t>
            </w:r>
          </w:p>
        </w:tc>
        <w:tc>
          <w:tcPr>
            <w:tcW w:w="1377" w:type="pct"/>
            <w:tcBorders>
              <w:top w:val="single" w:color="auto" w:sz="4" w:space="0"/>
              <w:left w:val="single" w:color="auto" w:sz="4" w:space="0"/>
              <w:bottom w:val="single" w:color="auto" w:sz="8" w:space="0"/>
              <w:right w:val="single" w:color="auto" w:sz="4" w:space="0"/>
            </w:tcBorders>
            <w:shd w:val="clear" w:color="auto" w:fill="auto"/>
            <w:vAlign w:val="top"/>
          </w:tcPr>
          <w:p w14:paraId="1F2ECA3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DL</w:t>
            </w:r>
            <w:r>
              <w:rPr>
                <w:rFonts w:hint="eastAsia" w:ascii="宋体" w:hAnsi="宋体" w:eastAsia="宋体" w:cs="宋体"/>
                <w:iCs/>
                <w:kern w:val="2"/>
                <w:sz w:val="21"/>
                <w:szCs w:val="21"/>
                <w:highlight w:val="none"/>
                <w:lang w:val="en-US" w:eastAsia="zh-CN" w:bidi="ar"/>
                <w:woUserID w:val="1"/>
              </w:rPr>
              <w:t>／</w:t>
            </w:r>
            <w:r>
              <w:rPr>
                <w:rFonts w:hint="default" w:ascii="Calibri" w:hAnsi="Calibri" w:eastAsia="宋体" w:cs="Calibri"/>
                <w:iCs/>
                <w:kern w:val="2"/>
                <w:sz w:val="21"/>
                <w:szCs w:val="21"/>
                <w:highlight w:val="none"/>
                <w:lang w:val="en-US" w:eastAsia="zh-CN" w:bidi="ar"/>
                <w:woUserID w:val="1"/>
              </w:rPr>
              <w:t>T 2029</w:t>
            </w:r>
            <w:r>
              <w:rPr>
                <w:rFonts w:hint="eastAsia" w:ascii="宋体" w:hAnsi="宋体" w:eastAsia="宋体" w:cs="宋体"/>
                <w:iCs/>
                <w:kern w:val="2"/>
                <w:sz w:val="21"/>
                <w:szCs w:val="21"/>
                <w:highlight w:val="none"/>
                <w:lang w:val="en-US" w:eastAsia="zh-CN" w:bidi="ar"/>
                <w:woUserID w:val="1"/>
              </w:rPr>
              <w:t>—</w:t>
            </w:r>
            <w:r>
              <w:rPr>
                <w:rFonts w:hint="default" w:ascii="Calibri" w:hAnsi="Calibri" w:eastAsia="宋体" w:cs="Calibri"/>
                <w:iCs/>
                <w:kern w:val="2"/>
                <w:sz w:val="21"/>
                <w:szCs w:val="21"/>
                <w:highlight w:val="none"/>
                <w:lang w:val="en-US" w:eastAsia="zh-CN" w:bidi="ar"/>
                <w:woUserID w:val="1"/>
              </w:rPr>
              <w:t>2019</w:t>
            </w:r>
          </w:p>
        </w:tc>
        <w:tc>
          <w:tcPr>
            <w:tcW w:w="3218" w:type="pct"/>
            <w:tcBorders>
              <w:top w:val="single" w:color="auto" w:sz="4" w:space="0"/>
              <w:left w:val="single" w:color="auto" w:sz="4" w:space="0"/>
              <w:bottom w:val="single" w:color="auto" w:sz="8" w:space="0"/>
              <w:right w:val="single" w:color="auto" w:sz="8" w:space="0"/>
            </w:tcBorders>
            <w:shd w:val="clear" w:color="auto" w:fill="auto"/>
            <w:vAlign w:val="top"/>
          </w:tcPr>
          <w:p w14:paraId="2E2361F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宋体"/>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《煤中全水分测定自动仪器法》</w:t>
            </w:r>
          </w:p>
        </w:tc>
      </w:tr>
    </w:tbl>
    <w:p w14:paraId="71B4487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 </w:t>
      </w:r>
    </w:p>
    <w:p w14:paraId="3CD7E690">
      <w:pPr>
        <w:pStyle w:val="14"/>
        <w:keepNext w:val="0"/>
        <w:keepLines w:val="0"/>
        <w:widowControl w:val="0"/>
        <w:suppressLineNumbers w:val="0"/>
        <w:tabs>
          <w:tab w:val="left" w:pos="575"/>
        </w:tabs>
        <w:kinsoku w:val="0"/>
        <w:overflowPunct w:val="0"/>
        <w:autoSpaceDE w:val="0"/>
        <w:autoSpaceDN w:val="0"/>
        <w:spacing w:before="100" w:beforeLines="100" w:beforeAutospacing="0" w:after="0" w:afterAutospacing="1" w:line="360" w:lineRule="auto"/>
        <w:ind w:left="575" w:leftChars="0" w:right="0" w:hanging="575" w:firstLineChars="0"/>
        <w:jc w:val="both"/>
        <w:outlineLvl w:val="2"/>
        <w:rPr>
          <w:rFonts w:hint="eastAsia" w:ascii="黑体" w:hAnsi="宋体" w:eastAsia="宋体" w:cs="Times New Roman"/>
          <w:b/>
          <w:bCs w:val="0"/>
          <w:kern w:val="2"/>
          <w:sz w:val="21"/>
          <w:szCs w:val="21"/>
          <w:highlight w:val="none"/>
          <w:woUserID w:val="1"/>
        </w:rPr>
      </w:pPr>
      <w:r>
        <w:rPr>
          <w:rFonts w:hint="eastAsia" w:ascii="宋体" w:hAnsi="宋体" w:eastAsia="宋体" w:cs="宋体"/>
          <w:b/>
          <w:bCs w:val="0"/>
          <w:kern w:val="2"/>
          <w:sz w:val="24"/>
          <w:szCs w:val="24"/>
          <w:highlight w:val="none"/>
          <w:lang w:val="en-US" w:eastAsia="zh-CN" w:bidi="ar"/>
          <w:woUserID w:val="1"/>
        </w:rPr>
        <w:t>4.2</w:t>
      </w:r>
      <w:r>
        <w:rPr>
          <w:rFonts w:hint="eastAsia" w:ascii="宋体" w:hAnsi="宋体" w:eastAsia="宋体" w:cs="宋体"/>
          <w:b/>
          <w:bCs w:val="0"/>
          <w:kern w:val="2"/>
          <w:sz w:val="21"/>
          <w:szCs w:val="21"/>
          <w:highlight w:val="none"/>
          <w:lang w:val="en-US" w:eastAsia="zh-CN" w:bidi="ar"/>
          <w:woUserID w:val="1"/>
        </w:rPr>
        <w:t>信息化标准</w:t>
      </w:r>
    </w:p>
    <w:tbl>
      <w:tblPr>
        <w:tblStyle w:val="1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6"/>
        <w:gridCol w:w="2646"/>
        <w:gridCol w:w="5514"/>
      </w:tblGrid>
      <w:tr w14:paraId="6BFFE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8" w:space="0"/>
              <w:left w:val="single" w:color="auto" w:sz="8" w:space="0"/>
              <w:bottom w:val="single" w:color="auto" w:sz="4" w:space="0"/>
              <w:right w:val="single" w:color="auto" w:sz="4" w:space="0"/>
            </w:tcBorders>
            <w:shd w:val="clear" w:color="auto" w:fill="auto"/>
            <w:vAlign w:val="top"/>
          </w:tcPr>
          <w:p w14:paraId="4640F01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序号</w:t>
            </w:r>
          </w:p>
        </w:tc>
        <w:tc>
          <w:tcPr>
            <w:tcW w:w="1493" w:type="pct"/>
            <w:tcBorders>
              <w:top w:val="single" w:color="auto" w:sz="8" w:space="0"/>
              <w:left w:val="single" w:color="auto" w:sz="4" w:space="0"/>
              <w:bottom w:val="single" w:color="auto" w:sz="4" w:space="0"/>
              <w:right w:val="single" w:color="auto" w:sz="4" w:space="0"/>
            </w:tcBorders>
            <w:shd w:val="clear" w:color="auto" w:fill="auto"/>
            <w:vAlign w:val="top"/>
          </w:tcPr>
          <w:p w14:paraId="13D1AC7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标准号</w:t>
            </w:r>
          </w:p>
        </w:tc>
        <w:tc>
          <w:tcPr>
            <w:tcW w:w="3112" w:type="pct"/>
            <w:tcBorders>
              <w:top w:val="single" w:color="auto" w:sz="8" w:space="0"/>
              <w:left w:val="single" w:color="auto" w:sz="4" w:space="0"/>
              <w:bottom w:val="single" w:color="auto" w:sz="4" w:space="0"/>
              <w:right w:val="single" w:color="auto" w:sz="8" w:space="0"/>
            </w:tcBorders>
            <w:shd w:val="clear" w:color="auto" w:fill="auto"/>
            <w:vAlign w:val="top"/>
          </w:tcPr>
          <w:p w14:paraId="54FD7ED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标准名称</w:t>
            </w:r>
          </w:p>
        </w:tc>
      </w:tr>
      <w:tr w14:paraId="27104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2A92BC5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6346A42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2423.1</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6FF03EA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《电工电子产品环境试验 第</w:t>
            </w:r>
            <w:r>
              <w:rPr>
                <w:rFonts w:hint="default" w:ascii="宋体" w:hAnsi="宋体" w:eastAsia="宋体" w:cs="宋体"/>
                <w:iCs/>
                <w:kern w:val="2"/>
                <w:sz w:val="21"/>
                <w:szCs w:val="21"/>
                <w:highlight w:val="none"/>
                <w:lang w:val="en-US" w:eastAsia="zh-CN" w:bidi="ar"/>
                <w:woUserID w:val="1"/>
              </w:rPr>
              <w:t>2</w:t>
            </w:r>
            <w:r>
              <w:rPr>
                <w:rFonts w:hint="eastAsia" w:ascii="宋体" w:hAnsi="宋体" w:eastAsia="宋体" w:cs="宋体"/>
                <w:iCs/>
                <w:kern w:val="2"/>
                <w:sz w:val="21"/>
                <w:szCs w:val="21"/>
                <w:highlight w:val="none"/>
                <w:lang w:val="en-US" w:eastAsia="zh-CN" w:bidi="ar"/>
                <w:woUserID w:val="1"/>
              </w:rPr>
              <w:t>部分：试验方法 试验</w:t>
            </w:r>
            <w:r>
              <w:rPr>
                <w:rFonts w:hint="default" w:ascii="宋体" w:hAnsi="宋体" w:eastAsia="宋体" w:cs="宋体"/>
                <w:iCs/>
                <w:kern w:val="2"/>
                <w:sz w:val="21"/>
                <w:szCs w:val="21"/>
                <w:highlight w:val="none"/>
                <w:lang w:val="en-US" w:eastAsia="zh-CN" w:bidi="ar"/>
                <w:woUserID w:val="1"/>
              </w:rPr>
              <w:t>A</w:t>
            </w:r>
            <w:r>
              <w:rPr>
                <w:rFonts w:hint="eastAsia" w:ascii="宋体" w:hAnsi="宋体" w:eastAsia="宋体" w:cs="宋体"/>
                <w:iCs/>
                <w:kern w:val="2"/>
                <w:sz w:val="21"/>
                <w:szCs w:val="21"/>
                <w:highlight w:val="none"/>
                <w:lang w:val="en-US" w:eastAsia="zh-CN" w:bidi="ar"/>
                <w:woUserID w:val="1"/>
              </w:rPr>
              <w:t>：低温》</w:t>
            </w:r>
          </w:p>
        </w:tc>
      </w:tr>
      <w:tr w14:paraId="6DA35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12BE563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2</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334A6A0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 50311</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7F9EBDE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《综合布线系统工程设计规范》</w:t>
            </w:r>
          </w:p>
        </w:tc>
      </w:tr>
      <w:tr w14:paraId="112747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53FCAF3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3</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2594358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 50312</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527ACA3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《综合布线系统工程验收规范》</w:t>
            </w:r>
          </w:p>
        </w:tc>
      </w:tr>
      <w:tr w14:paraId="0F792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3B16F8C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4</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0A7DD11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8567</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587B1BF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《计算机软件文档编制规范》</w:t>
            </w:r>
          </w:p>
        </w:tc>
      </w:tr>
      <w:tr w14:paraId="22124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32A4368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5</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22E32A5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9385</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3F19938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《计算机软件需求规格说明规范》</w:t>
            </w:r>
          </w:p>
        </w:tc>
      </w:tr>
      <w:tr w14:paraId="3E6264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6BA0B75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6</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01E9FB8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9386</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274CA21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《计算机软件测试文档编制规范》</w:t>
            </w:r>
          </w:p>
        </w:tc>
      </w:tr>
      <w:tr w14:paraId="399CB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139E98C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7</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26E5216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8566</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549FD59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《信息技术 软件生存周期过程》</w:t>
            </w:r>
          </w:p>
        </w:tc>
      </w:tr>
      <w:tr w14:paraId="49DC6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2DDCE50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8</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2337AD4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13502</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1BC978C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《信息处理 程序构造及其表示的约定》</w:t>
            </w:r>
          </w:p>
        </w:tc>
      </w:tr>
      <w:tr w14:paraId="764488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1438A11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9</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62F86B4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14085</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1B0CA7C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《信息处理系统计算机系统配置图符号及约定》</w:t>
            </w:r>
          </w:p>
        </w:tc>
      </w:tr>
      <w:tr w14:paraId="22E911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3DA486F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10</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5AC260A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10112</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7667D68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《术语工作 原则与方法》</w:t>
            </w:r>
          </w:p>
        </w:tc>
      </w:tr>
      <w:tr w14:paraId="45454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60CB3BE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11</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24DBCAC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13725</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7D17749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《建立术语数据库的一般原则与方法》</w:t>
            </w:r>
          </w:p>
        </w:tc>
      </w:tr>
      <w:tr w14:paraId="161A7F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40C02E1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12</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4048336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 xml:space="preserve"> GB/T 20988</w:t>
            </w:r>
            <w:r>
              <w:rPr>
                <w:rFonts w:hint="eastAsia" w:ascii="宋体" w:hAnsi="宋体" w:eastAsia="宋体" w:cs="宋体"/>
                <w:iCs/>
                <w:kern w:val="2"/>
                <w:sz w:val="21"/>
                <w:szCs w:val="21"/>
                <w:highlight w:val="none"/>
                <w:lang w:val="en-US" w:eastAsia="zh-CN" w:bidi="ar"/>
                <w:woUserID w:val="1"/>
              </w:rPr>
              <w:tab/>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4D94E78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《信息安全技术 信息系统灾难恢复规范》</w:t>
            </w:r>
          </w:p>
        </w:tc>
      </w:tr>
      <w:tr w14:paraId="2668F1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69686ED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13</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75487FD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 xml:space="preserve"> GB/T 50314</w:t>
            </w:r>
            <w:r>
              <w:rPr>
                <w:rFonts w:hint="eastAsia" w:ascii="宋体" w:hAnsi="宋体" w:eastAsia="宋体" w:cs="宋体"/>
                <w:iCs/>
                <w:kern w:val="2"/>
                <w:sz w:val="21"/>
                <w:szCs w:val="21"/>
                <w:highlight w:val="none"/>
                <w:lang w:val="en-US" w:eastAsia="zh-CN" w:bidi="ar"/>
                <w:woUserID w:val="1"/>
              </w:rPr>
              <w:tab/>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674E2D9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《智能建筑设计标准》</w:t>
            </w:r>
          </w:p>
        </w:tc>
      </w:tr>
      <w:tr w14:paraId="1CD72D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5BB2853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14</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4CF5348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GB50396</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710B7E0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《出入口控制系统工程设计规范》</w:t>
            </w:r>
          </w:p>
        </w:tc>
      </w:tr>
      <w:tr w14:paraId="375EF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2A2A137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15</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5811E3E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GB/T16895.17</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0DE021C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《建筑物电气装置 第</w:t>
            </w:r>
            <w:r>
              <w:rPr>
                <w:rFonts w:hint="default" w:ascii="宋体" w:hAnsi="宋体" w:eastAsia="宋体" w:cs="宋体"/>
                <w:iCs/>
                <w:kern w:val="2"/>
                <w:sz w:val="21"/>
                <w:szCs w:val="21"/>
                <w:highlight w:val="none"/>
                <w:lang w:val="en-US" w:eastAsia="zh-CN" w:bidi="ar"/>
                <w:woUserID w:val="1"/>
              </w:rPr>
              <w:t>5</w:t>
            </w:r>
            <w:r>
              <w:rPr>
                <w:rFonts w:hint="eastAsia" w:ascii="宋体" w:hAnsi="宋体" w:eastAsia="宋体" w:cs="宋体"/>
                <w:iCs/>
                <w:kern w:val="2"/>
                <w:sz w:val="21"/>
                <w:szCs w:val="21"/>
                <w:highlight w:val="none"/>
                <w:lang w:val="en-US" w:eastAsia="zh-CN" w:bidi="ar"/>
                <w:woUserID w:val="1"/>
              </w:rPr>
              <w:t>部分：电气设备的选择和安装 第</w:t>
            </w:r>
            <w:r>
              <w:rPr>
                <w:rFonts w:hint="default" w:ascii="宋体" w:hAnsi="宋体" w:eastAsia="宋体" w:cs="宋体"/>
                <w:iCs/>
                <w:kern w:val="2"/>
                <w:sz w:val="21"/>
                <w:szCs w:val="21"/>
                <w:highlight w:val="none"/>
                <w:lang w:val="en-US" w:eastAsia="zh-CN" w:bidi="ar"/>
                <w:woUserID w:val="1"/>
              </w:rPr>
              <w:t>548</w:t>
            </w:r>
            <w:r>
              <w:rPr>
                <w:rFonts w:hint="eastAsia" w:ascii="宋体" w:hAnsi="宋体" w:eastAsia="宋体" w:cs="宋体"/>
                <w:iCs/>
                <w:kern w:val="2"/>
                <w:sz w:val="21"/>
                <w:szCs w:val="21"/>
                <w:highlight w:val="none"/>
                <w:lang w:val="en-US" w:eastAsia="zh-CN" w:bidi="ar"/>
                <w:woUserID w:val="1"/>
              </w:rPr>
              <w:t>节：信息技术装置的接地配置和等电位联结》</w:t>
            </w:r>
          </w:p>
        </w:tc>
      </w:tr>
      <w:tr w14:paraId="1674D1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3C8F34B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16</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115E0CF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19715.1</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1301AD3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《信息技术 信息技术安全管理指南 第</w:t>
            </w:r>
            <w:r>
              <w:rPr>
                <w:rFonts w:hint="default" w:ascii="宋体" w:hAnsi="宋体" w:eastAsia="宋体" w:cs="宋体"/>
                <w:iCs/>
                <w:kern w:val="2"/>
                <w:sz w:val="21"/>
                <w:szCs w:val="21"/>
                <w:highlight w:val="none"/>
                <w:lang w:val="en-US" w:eastAsia="zh-CN" w:bidi="ar"/>
                <w:woUserID w:val="1"/>
              </w:rPr>
              <w:t>1</w:t>
            </w:r>
            <w:r>
              <w:rPr>
                <w:rFonts w:hint="eastAsia" w:ascii="宋体" w:hAnsi="宋体" w:eastAsia="宋体" w:cs="宋体"/>
                <w:iCs/>
                <w:kern w:val="2"/>
                <w:sz w:val="21"/>
                <w:szCs w:val="21"/>
                <w:highlight w:val="none"/>
                <w:lang w:val="en-US" w:eastAsia="zh-CN" w:bidi="ar"/>
                <w:woUserID w:val="1"/>
              </w:rPr>
              <w:t>部分</w:t>
            </w:r>
            <w:r>
              <w:rPr>
                <w:rFonts w:hint="default" w:ascii="宋体" w:hAnsi="宋体" w:eastAsia="宋体" w:cs="宋体"/>
                <w:iCs/>
                <w:kern w:val="2"/>
                <w:sz w:val="21"/>
                <w:szCs w:val="21"/>
                <w:highlight w:val="none"/>
                <w:lang w:val="en-US" w:eastAsia="zh-CN" w:bidi="ar"/>
                <w:woUserID w:val="1"/>
              </w:rPr>
              <w:t>:</w:t>
            </w:r>
            <w:r>
              <w:rPr>
                <w:rFonts w:hint="eastAsia" w:ascii="宋体" w:hAnsi="宋体" w:eastAsia="宋体" w:cs="宋体"/>
                <w:iCs/>
                <w:kern w:val="2"/>
                <w:sz w:val="21"/>
                <w:szCs w:val="21"/>
                <w:highlight w:val="none"/>
                <w:lang w:val="en-US" w:eastAsia="zh-CN" w:bidi="ar"/>
                <w:woUserID w:val="1"/>
              </w:rPr>
              <w:t>信息技术安全概念和模型》</w:t>
            </w:r>
          </w:p>
        </w:tc>
      </w:tr>
      <w:tr w14:paraId="4CD4D7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1BDFDF6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17</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105BB06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GB/T 19715.2</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0A0E0FA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《信息技术 信息技术安全管理指南 第</w:t>
            </w:r>
            <w:r>
              <w:rPr>
                <w:rFonts w:hint="default" w:ascii="宋体" w:hAnsi="宋体" w:eastAsia="宋体" w:cs="宋体"/>
                <w:iCs/>
                <w:kern w:val="2"/>
                <w:sz w:val="21"/>
                <w:szCs w:val="21"/>
                <w:highlight w:val="none"/>
                <w:lang w:val="en-US" w:eastAsia="zh-CN" w:bidi="ar"/>
                <w:woUserID w:val="1"/>
              </w:rPr>
              <w:t>2</w:t>
            </w:r>
            <w:r>
              <w:rPr>
                <w:rFonts w:hint="eastAsia" w:ascii="宋体" w:hAnsi="宋体" w:eastAsia="宋体" w:cs="宋体"/>
                <w:iCs/>
                <w:kern w:val="2"/>
                <w:sz w:val="21"/>
                <w:szCs w:val="21"/>
                <w:highlight w:val="none"/>
                <w:lang w:val="en-US" w:eastAsia="zh-CN" w:bidi="ar"/>
                <w:woUserID w:val="1"/>
              </w:rPr>
              <w:t xml:space="preserve">部分：管理和规划信息技术安全》电监会《电力二次系统安全防护规定》 </w:t>
            </w:r>
            <w:r>
              <w:rPr>
                <w:rFonts w:hint="default" w:ascii="宋体" w:hAnsi="宋体" w:eastAsia="宋体" w:cs="宋体"/>
                <w:iCs/>
                <w:kern w:val="2"/>
                <w:sz w:val="21"/>
                <w:szCs w:val="21"/>
                <w:highlight w:val="none"/>
                <w:lang w:val="en-US" w:eastAsia="zh-CN" w:bidi="ar"/>
                <w:woUserID w:val="1"/>
              </w:rPr>
              <w:t>2005</w:t>
            </w:r>
          </w:p>
        </w:tc>
      </w:tr>
      <w:tr w14:paraId="2206B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001B69F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19</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59F8C28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ISO/IEC11801</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287A602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国际标准组织结构化布线标准</w:t>
            </w:r>
          </w:p>
        </w:tc>
      </w:tr>
      <w:tr w14:paraId="539C6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4" w:space="0"/>
              <w:right w:val="single" w:color="auto" w:sz="4" w:space="0"/>
            </w:tcBorders>
            <w:shd w:val="clear" w:color="auto" w:fill="auto"/>
            <w:vAlign w:val="top"/>
          </w:tcPr>
          <w:p w14:paraId="185B50F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20</w:t>
            </w:r>
          </w:p>
        </w:tc>
        <w:tc>
          <w:tcPr>
            <w:tcW w:w="1493" w:type="pct"/>
            <w:tcBorders>
              <w:top w:val="single" w:color="auto" w:sz="4" w:space="0"/>
              <w:left w:val="single" w:color="auto" w:sz="4" w:space="0"/>
              <w:bottom w:val="single" w:color="auto" w:sz="4" w:space="0"/>
              <w:right w:val="single" w:color="auto" w:sz="4" w:space="0"/>
            </w:tcBorders>
            <w:shd w:val="clear" w:color="auto" w:fill="auto"/>
            <w:vAlign w:val="top"/>
          </w:tcPr>
          <w:p w14:paraId="7772068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ANSI/EIA/TIA-568-A</w:t>
            </w:r>
          </w:p>
        </w:tc>
        <w:tc>
          <w:tcPr>
            <w:tcW w:w="3112" w:type="pct"/>
            <w:tcBorders>
              <w:top w:val="single" w:color="auto" w:sz="4" w:space="0"/>
              <w:left w:val="single" w:color="auto" w:sz="4" w:space="0"/>
              <w:bottom w:val="single" w:color="auto" w:sz="4" w:space="0"/>
              <w:right w:val="single" w:color="auto" w:sz="8" w:space="0"/>
            </w:tcBorders>
            <w:shd w:val="clear" w:color="auto" w:fill="auto"/>
            <w:vAlign w:val="top"/>
          </w:tcPr>
          <w:p w14:paraId="787CFD9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大楼通信布线标准</w:t>
            </w:r>
          </w:p>
        </w:tc>
      </w:tr>
      <w:tr w14:paraId="5C587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393" w:type="pct"/>
            <w:tcBorders>
              <w:top w:val="single" w:color="auto" w:sz="4" w:space="0"/>
              <w:left w:val="single" w:color="auto" w:sz="8" w:space="0"/>
              <w:bottom w:val="single" w:color="auto" w:sz="8" w:space="0"/>
              <w:right w:val="single" w:color="auto" w:sz="4" w:space="0"/>
            </w:tcBorders>
            <w:shd w:val="clear" w:color="auto" w:fill="auto"/>
            <w:vAlign w:val="top"/>
          </w:tcPr>
          <w:p w14:paraId="06139D8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default" w:ascii="宋体" w:hAnsi="宋体" w:eastAsia="宋体" w:cs="宋体"/>
                <w:iCs/>
                <w:kern w:val="2"/>
                <w:sz w:val="21"/>
                <w:szCs w:val="21"/>
                <w:highlight w:val="none"/>
                <w:lang w:val="en-US" w:eastAsia="zh-CN" w:bidi="ar"/>
                <w:woUserID w:val="1"/>
              </w:rPr>
              <w:t>21</w:t>
            </w:r>
          </w:p>
        </w:tc>
        <w:tc>
          <w:tcPr>
            <w:tcW w:w="1493" w:type="pct"/>
            <w:tcBorders>
              <w:top w:val="single" w:color="auto" w:sz="4" w:space="0"/>
              <w:left w:val="single" w:color="auto" w:sz="4" w:space="0"/>
              <w:bottom w:val="single" w:color="auto" w:sz="8" w:space="0"/>
              <w:right w:val="single" w:color="auto" w:sz="4" w:space="0"/>
            </w:tcBorders>
            <w:shd w:val="clear" w:color="auto" w:fill="auto"/>
            <w:vAlign w:val="top"/>
          </w:tcPr>
          <w:p w14:paraId="7EA2A05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国能安全〔</w:t>
            </w:r>
            <w:r>
              <w:rPr>
                <w:rFonts w:hint="default" w:ascii="宋体" w:hAnsi="宋体" w:eastAsia="宋体" w:cs="宋体"/>
                <w:iCs/>
                <w:kern w:val="2"/>
                <w:sz w:val="21"/>
                <w:szCs w:val="21"/>
                <w:highlight w:val="none"/>
                <w:lang w:val="en-US" w:eastAsia="zh-CN" w:bidi="ar"/>
                <w:woUserID w:val="1"/>
              </w:rPr>
              <w:t>2015</w:t>
            </w:r>
            <w:r>
              <w:rPr>
                <w:rFonts w:hint="eastAsia" w:ascii="宋体" w:hAnsi="宋体" w:eastAsia="宋体" w:cs="宋体"/>
                <w:iCs/>
                <w:kern w:val="2"/>
                <w:sz w:val="21"/>
                <w:szCs w:val="21"/>
                <w:highlight w:val="none"/>
                <w:lang w:val="en-US" w:eastAsia="zh-CN" w:bidi="ar"/>
                <w:woUserID w:val="1"/>
              </w:rPr>
              <w:t>〕</w:t>
            </w:r>
            <w:r>
              <w:rPr>
                <w:rFonts w:hint="default" w:ascii="宋体" w:hAnsi="宋体" w:eastAsia="宋体" w:cs="宋体"/>
                <w:iCs/>
                <w:kern w:val="2"/>
                <w:sz w:val="21"/>
                <w:szCs w:val="21"/>
                <w:highlight w:val="none"/>
                <w:lang w:val="en-US" w:eastAsia="zh-CN" w:bidi="ar"/>
                <w:woUserID w:val="1"/>
              </w:rPr>
              <w:t>36</w:t>
            </w:r>
            <w:r>
              <w:rPr>
                <w:rFonts w:hint="eastAsia" w:ascii="宋体" w:hAnsi="宋体" w:eastAsia="宋体" w:cs="宋体"/>
                <w:iCs/>
                <w:kern w:val="2"/>
                <w:sz w:val="21"/>
                <w:szCs w:val="21"/>
                <w:highlight w:val="none"/>
                <w:lang w:val="en-US" w:eastAsia="zh-CN" w:bidi="ar"/>
                <w:woUserID w:val="1"/>
              </w:rPr>
              <w:t>号文</w:t>
            </w:r>
          </w:p>
        </w:tc>
        <w:tc>
          <w:tcPr>
            <w:tcW w:w="3112" w:type="pct"/>
            <w:tcBorders>
              <w:top w:val="single" w:color="auto" w:sz="4" w:space="0"/>
              <w:left w:val="single" w:color="auto" w:sz="4" w:space="0"/>
              <w:bottom w:val="single" w:color="auto" w:sz="8" w:space="0"/>
              <w:right w:val="single" w:color="auto" w:sz="8" w:space="0"/>
            </w:tcBorders>
            <w:shd w:val="clear" w:color="auto" w:fill="auto"/>
            <w:vAlign w:val="top"/>
          </w:tcPr>
          <w:p w14:paraId="2E48C81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宋体" w:hAnsi="宋体" w:eastAsia="宋体" w:cs="宋体"/>
                <w:iCs/>
                <w:kern w:val="2"/>
                <w:sz w:val="21"/>
                <w:szCs w:val="21"/>
                <w:highlight w:val="none"/>
                <w:lang w:val="en-US" w:eastAsia="zh-CN" w:bidi="ar"/>
                <w:woUserID w:val="1"/>
              </w:rPr>
            </w:pPr>
            <w:r>
              <w:rPr>
                <w:rFonts w:hint="eastAsia" w:ascii="宋体" w:hAnsi="宋体" w:eastAsia="宋体" w:cs="宋体"/>
                <w:iCs/>
                <w:kern w:val="2"/>
                <w:sz w:val="21"/>
                <w:szCs w:val="21"/>
                <w:highlight w:val="none"/>
                <w:lang w:val="en-US" w:eastAsia="zh-CN" w:bidi="ar"/>
                <w:woUserID w:val="1"/>
              </w:rPr>
              <w:t>《国家能源局关于印发电力监控系统安全防护总体方案等安全防护方案和评估规范的通知》</w:t>
            </w:r>
          </w:p>
        </w:tc>
      </w:tr>
    </w:tbl>
    <w:p w14:paraId="460B976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firstLine="420" w:firstLineChars="200"/>
        <w:jc w:val="both"/>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 </w:t>
      </w:r>
    </w:p>
    <w:p w14:paraId="3A445F04">
      <w:pPr>
        <w:pStyle w:val="14"/>
        <w:keepNext w:val="0"/>
        <w:keepLines w:val="0"/>
        <w:widowControl w:val="0"/>
        <w:suppressLineNumbers w:val="0"/>
        <w:tabs>
          <w:tab w:val="left" w:pos="575"/>
        </w:tabs>
        <w:kinsoku w:val="0"/>
        <w:overflowPunct w:val="0"/>
        <w:autoSpaceDE w:val="0"/>
        <w:autoSpaceDN w:val="0"/>
        <w:spacing w:before="100" w:beforeLines="100" w:beforeAutospacing="0" w:after="0" w:afterAutospacing="1" w:line="360" w:lineRule="auto"/>
        <w:ind w:left="575" w:leftChars="0" w:right="0" w:hanging="575" w:firstLineChars="0"/>
        <w:jc w:val="both"/>
        <w:outlineLvl w:val="2"/>
        <w:rPr>
          <w:rFonts w:hint="eastAsia" w:ascii="黑体" w:hAnsi="宋体" w:eastAsia="宋体" w:cs="Times New Roman"/>
          <w:b/>
          <w:bCs w:val="0"/>
          <w:kern w:val="2"/>
          <w:sz w:val="21"/>
          <w:szCs w:val="21"/>
          <w:highlight w:val="none"/>
          <w:woUserID w:val="1"/>
        </w:rPr>
      </w:pPr>
      <w:r>
        <w:rPr>
          <w:rFonts w:hint="eastAsia" w:ascii="宋体" w:hAnsi="宋体" w:eastAsia="宋体" w:cs="宋体"/>
          <w:b/>
          <w:bCs w:val="0"/>
          <w:kern w:val="2"/>
          <w:sz w:val="24"/>
          <w:szCs w:val="24"/>
          <w:highlight w:val="none"/>
          <w:lang w:val="en-US" w:eastAsia="zh-CN" w:bidi="ar"/>
          <w:woUserID w:val="1"/>
        </w:rPr>
        <w:t>4.3</w:t>
      </w:r>
      <w:r>
        <w:rPr>
          <w:rFonts w:hint="eastAsia" w:ascii="宋体" w:hAnsi="宋体" w:eastAsia="宋体" w:cs="宋体"/>
          <w:b/>
          <w:bCs w:val="0"/>
          <w:kern w:val="2"/>
          <w:sz w:val="21"/>
          <w:szCs w:val="21"/>
          <w:highlight w:val="none"/>
          <w:lang w:val="en-US" w:eastAsia="zh-CN" w:bidi="ar"/>
          <w:woUserID w:val="1"/>
        </w:rPr>
        <w:t>工业设计，制造相关标准</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14"/>
        <w:gridCol w:w="2654"/>
        <w:gridCol w:w="5488"/>
      </w:tblGrid>
      <w:tr w14:paraId="067C9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48247D34">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序号</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CCD9FA5">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标准号</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54414CF3">
            <w:pPr>
              <w:keepNext w:val="0"/>
              <w:keepLines w:val="0"/>
              <w:widowControl w:val="0"/>
              <w:suppressLineNumbers w:val="0"/>
              <w:kinsoku w:val="0"/>
              <w:overflowPunct w:val="0"/>
              <w:autoSpaceDE w:val="0"/>
              <w:autoSpaceDN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eastAsia" w:ascii="宋体" w:hAnsi="宋体" w:eastAsia="宋体" w:cs="宋体"/>
                <w:iCs/>
                <w:kern w:val="2"/>
                <w:sz w:val="21"/>
                <w:szCs w:val="21"/>
                <w:highlight w:val="none"/>
                <w:lang w:val="en-US" w:eastAsia="zh-CN" w:bidi="ar"/>
                <w:woUserID w:val="1"/>
              </w:rPr>
              <w:t>标准名称</w:t>
            </w:r>
          </w:p>
        </w:tc>
      </w:tr>
      <w:tr w14:paraId="10688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6CBAE42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EB7D5B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GB/T19001-ISO9001</w:t>
            </w:r>
            <w:r>
              <w:rPr>
                <w:rFonts w:hint="eastAsia" w:ascii="宋体" w:hAnsi="宋体" w:eastAsia="宋体" w:cs="宋体"/>
                <w:kern w:val="2"/>
                <w:sz w:val="21"/>
                <w:szCs w:val="21"/>
                <w:highlight w:val="none"/>
                <w:lang w:val="en-US" w:eastAsia="zh-CN" w:bidi="ar"/>
                <w:woUserID w:val="1"/>
              </w:rPr>
              <w:t>：</w:t>
            </w:r>
            <w:r>
              <w:rPr>
                <w:rFonts w:hint="default" w:ascii="Calibri" w:hAnsi="Calibri" w:eastAsia="宋体" w:cs="Calibri"/>
                <w:kern w:val="2"/>
                <w:sz w:val="21"/>
                <w:szCs w:val="21"/>
                <w:highlight w:val="none"/>
                <w:lang w:val="en-US" w:eastAsia="zh-CN" w:bidi="ar"/>
                <w:woUserID w:val="1"/>
              </w:rPr>
              <w:t>1994</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61E9766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《质量体系</w:t>
            </w:r>
            <w:r>
              <w:rPr>
                <w:rFonts w:hint="default" w:ascii="Calibri" w:hAnsi="Calibri" w:eastAsia="宋体" w:cs="Calibri"/>
                <w:kern w:val="2"/>
                <w:sz w:val="21"/>
                <w:szCs w:val="21"/>
                <w:highlight w:val="none"/>
                <w:lang w:val="en-US" w:eastAsia="zh-CN" w:bidi="ar"/>
                <w:woUserID w:val="1"/>
              </w:rPr>
              <w:t>——</w:t>
            </w:r>
            <w:r>
              <w:rPr>
                <w:rFonts w:hint="eastAsia" w:ascii="宋体" w:hAnsi="宋体" w:eastAsia="宋体" w:cs="宋体"/>
                <w:kern w:val="2"/>
                <w:sz w:val="21"/>
                <w:szCs w:val="21"/>
                <w:highlight w:val="none"/>
                <w:lang w:val="en-US" w:eastAsia="zh-CN" w:bidi="ar"/>
                <w:woUserID w:val="1"/>
              </w:rPr>
              <w:t>设计、开发、生产、安装和服务的质量保证模式》</w:t>
            </w:r>
          </w:p>
        </w:tc>
      </w:tr>
      <w:tr w14:paraId="1BEB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4C5C388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2</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1927247A">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GB11345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28B731A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《钢焊缝手工超声波探伤方法和探伤结果分级》</w:t>
            </w:r>
          </w:p>
        </w:tc>
      </w:tr>
      <w:tr w14:paraId="4CA33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5162099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3</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708C61E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GB985</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0ED97E8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《气焊、手工电弧焊及气体保护焊焊缝坡口的基本形式与尺寸》</w:t>
            </w:r>
          </w:p>
        </w:tc>
      </w:tr>
      <w:tr w14:paraId="66024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2C3B2DE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4</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6C587630">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GB986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5B70E96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《埋弧焊焊缝坡口的基本形式与尺寸》</w:t>
            </w:r>
          </w:p>
        </w:tc>
      </w:tr>
      <w:tr w14:paraId="540E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4C78BB0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5</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67B50E7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GB1184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2432D5C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《形状和位置公差、未注公差的规定》</w:t>
            </w:r>
          </w:p>
        </w:tc>
      </w:tr>
      <w:tr w14:paraId="2F81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1C6A4A9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6</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5555155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GB/T1804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1931A20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 </w:t>
            </w:r>
            <w:r>
              <w:rPr>
                <w:rFonts w:hint="eastAsia" w:ascii="宋体" w:hAnsi="宋体" w:eastAsia="宋体" w:cs="宋体"/>
                <w:kern w:val="2"/>
                <w:sz w:val="21"/>
                <w:szCs w:val="21"/>
                <w:highlight w:val="none"/>
                <w:lang w:val="en-US" w:eastAsia="zh-CN" w:bidi="ar"/>
                <w:woUserID w:val="1"/>
              </w:rPr>
              <w:t>《一般公差线性尺寸的未注公差》</w:t>
            </w:r>
          </w:p>
        </w:tc>
      </w:tr>
      <w:tr w14:paraId="170E9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0B5762B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7</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6C71889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GB3323</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48B6B1D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《钢熔化焊对接接头射线照相和质量分级》</w:t>
            </w:r>
          </w:p>
        </w:tc>
      </w:tr>
      <w:tr w14:paraId="2439F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1D31AAA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8</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0994AA9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GB3767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3A08696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《噪声源声功率级的测定》</w:t>
            </w:r>
          </w:p>
        </w:tc>
      </w:tr>
      <w:tr w14:paraId="14D76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17CB63C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9</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9B40D7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JB/ZQ4286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6D7A1BF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《包装通用技术条件》</w:t>
            </w:r>
          </w:p>
        </w:tc>
      </w:tr>
      <w:tr w14:paraId="2DB7A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2B627BB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10</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63AD1E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JB8</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73C9F9C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 </w:t>
            </w:r>
            <w:r>
              <w:rPr>
                <w:rFonts w:hint="eastAsia" w:ascii="宋体" w:hAnsi="宋体" w:eastAsia="宋体" w:cs="宋体"/>
                <w:kern w:val="2"/>
                <w:sz w:val="21"/>
                <w:szCs w:val="21"/>
                <w:highlight w:val="none"/>
                <w:lang w:val="en-US" w:eastAsia="zh-CN" w:bidi="ar"/>
                <w:woUserID w:val="1"/>
              </w:rPr>
              <w:t>《产品标牌》</w:t>
            </w:r>
          </w:p>
        </w:tc>
      </w:tr>
      <w:tr w14:paraId="49673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1E13F4C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11</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7A61AD1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GB4208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46F4107E">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Arial"/>
                <w:iCs/>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《外壳防护等级分类》</w:t>
            </w:r>
          </w:p>
        </w:tc>
      </w:tr>
      <w:tr w14:paraId="22D16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7DD38FC5">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12</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33DE61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GB755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039AB93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《电机基本技术要求》</w:t>
            </w:r>
          </w:p>
        </w:tc>
      </w:tr>
      <w:tr w14:paraId="7908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19DF243F">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13</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695DE64C">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GB 156</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458674A4">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《标准电压》</w:t>
            </w:r>
          </w:p>
        </w:tc>
      </w:tr>
      <w:tr w14:paraId="513D2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580C25D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14</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25FDC5C7">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GB/T 1980</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2B283C4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《标准频率》</w:t>
            </w:r>
          </w:p>
        </w:tc>
      </w:tr>
      <w:tr w14:paraId="061C8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574F9A2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15</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5B48A3BB">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 2681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1D09DB68">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《电工成套装置之中的导线颜色》</w:t>
            </w:r>
          </w:p>
        </w:tc>
      </w:tr>
      <w:tr w14:paraId="67F9C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97"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57CDF5E6">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16</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016871B3">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 2682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3FE8DDD9">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《电工成套装置之中的指示灯和按钮的颜色》</w:t>
            </w:r>
          </w:p>
        </w:tc>
      </w:tr>
      <w:tr w14:paraId="308AA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14:paraId="79018471">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Arial"/>
                <w:iCs/>
                <w:kern w:val="2"/>
                <w:sz w:val="21"/>
                <w:szCs w:val="21"/>
                <w:highlight w:val="none"/>
                <w:woUserID w:val="1"/>
              </w:rPr>
            </w:pPr>
            <w:r>
              <w:rPr>
                <w:rFonts w:hint="default" w:ascii="Calibri" w:hAnsi="Calibri" w:eastAsia="宋体" w:cs="Calibri"/>
                <w:iCs/>
                <w:kern w:val="2"/>
                <w:sz w:val="21"/>
                <w:szCs w:val="21"/>
                <w:highlight w:val="none"/>
                <w:lang w:val="en-US" w:eastAsia="zh-CN" w:bidi="ar"/>
                <w:woUserID w:val="1"/>
              </w:rPr>
              <w:t>17</w:t>
            </w:r>
          </w:p>
        </w:tc>
        <w:tc>
          <w:tcPr>
            <w:tcW w:w="1498" w:type="pct"/>
            <w:tcBorders>
              <w:top w:val="single" w:color="auto" w:sz="4" w:space="0"/>
              <w:left w:val="single" w:color="auto" w:sz="4" w:space="0"/>
              <w:bottom w:val="single" w:color="auto" w:sz="4" w:space="0"/>
              <w:right w:val="single" w:color="auto" w:sz="4" w:space="0"/>
            </w:tcBorders>
            <w:shd w:val="clear" w:color="auto" w:fill="auto"/>
            <w:vAlign w:val="center"/>
          </w:tcPr>
          <w:p w14:paraId="37656ADD">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jc w:val="center"/>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GB 3797 </w:t>
            </w:r>
          </w:p>
        </w:tc>
        <w:tc>
          <w:tcPr>
            <w:tcW w:w="3098" w:type="pct"/>
            <w:tcBorders>
              <w:top w:val="single" w:color="auto" w:sz="4" w:space="0"/>
              <w:left w:val="single" w:color="auto" w:sz="4" w:space="0"/>
              <w:bottom w:val="single" w:color="auto" w:sz="4" w:space="0"/>
              <w:right w:val="single" w:color="auto" w:sz="4" w:space="0"/>
            </w:tcBorders>
            <w:shd w:val="clear" w:color="auto" w:fill="auto"/>
            <w:vAlign w:val="center"/>
          </w:tcPr>
          <w:p w14:paraId="1A596AB5">
            <w:pPr>
              <w:keepNext w:val="0"/>
              <w:keepLines w:val="0"/>
              <w:widowControl w:val="0"/>
              <w:suppressLineNumbers w:val="0"/>
              <w:kinsoku w:val="0"/>
              <w:overflowPunct w:val="0"/>
              <w:autoSpaceDE w:val="0"/>
              <w:autoSpaceDN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《电控设备</w:t>
            </w:r>
            <w:r>
              <w:rPr>
                <w:rFonts w:hint="default" w:ascii="Calibri" w:hAnsi="Calibri" w:eastAsia="宋体" w:cs="Times New Roman"/>
                <w:kern w:val="2"/>
                <w:sz w:val="21"/>
                <w:szCs w:val="21"/>
                <w:highlight w:val="none"/>
                <w:lang w:val="en-US" w:eastAsia="zh-CN" w:bidi="ar"/>
                <w:woUserID w:val="1"/>
              </w:rPr>
              <w:t xml:space="preserve">  </w:t>
            </w:r>
            <w:r>
              <w:rPr>
                <w:rFonts w:hint="eastAsia" w:ascii="宋体" w:hAnsi="宋体" w:eastAsia="宋体" w:cs="宋体"/>
                <w:kern w:val="2"/>
                <w:sz w:val="21"/>
                <w:szCs w:val="21"/>
                <w:highlight w:val="none"/>
                <w:lang w:val="en-US" w:eastAsia="zh-CN" w:bidi="ar"/>
                <w:woUserID w:val="1"/>
              </w:rPr>
              <w:t>第二部分：装有电子器件的电控设备》</w:t>
            </w:r>
          </w:p>
        </w:tc>
      </w:tr>
    </w:tbl>
    <w:p w14:paraId="43892EF3">
      <w:pPr>
        <w:keepNext w:val="0"/>
        <w:keepLines w:val="0"/>
        <w:widowControl w:val="0"/>
        <w:suppressLineNumbers w:val="0"/>
        <w:kinsoku w:val="0"/>
        <w:overflowPunct w:val="0"/>
        <w:autoSpaceDE w:val="0"/>
        <w:autoSpaceDN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default" w:ascii="Calibri" w:hAnsi="Calibri" w:eastAsia="宋体" w:cs="Times New Roman"/>
          <w:kern w:val="2"/>
          <w:sz w:val="21"/>
          <w:szCs w:val="21"/>
          <w:highlight w:val="none"/>
          <w:lang w:val="en-US" w:eastAsia="zh-CN" w:bidi="ar"/>
          <w:woUserID w:val="1"/>
        </w:rPr>
        <w:t xml:space="preserve"> </w:t>
      </w:r>
    </w:p>
    <w:p w14:paraId="326E0AC2">
      <w:pPr>
        <w:keepNext w:val="0"/>
        <w:keepLines w:val="0"/>
        <w:widowControl w:val="0"/>
        <w:suppressLineNumbers w:val="0"/>
        <w:kinsoku w:val="0"/>
        <w:overflowPunct w:val="0"/>
        <w:autoSpaceDE w:val="0"/>
        <w:autoSpaceDN w:val="0"/>
        <w:snapToGrid w:val="0"/>
        <w:spacing w:before="0" w:beforeAutospacing="0" w:after="0" w:afterAutospacing="0" w:line="360" w:lineRule="auto"/>
        <w:ind w:left="0" w:right="0" w:firstLine="420" w:firstLineChars="20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响应人有责任对本技术规范中未提及的技术条款提出补充，如果响应人未以书面形式对本协议中的条款提出异议，那么采购人可以认为响应人提供的产品完全符合本协议的技术要求，并以此为依据进行验收。如果响应人在系统设计和产品制造及系统性能验收等方面采用的一些标准和规范不在本节所列的标准和规范范围内，或响应人采用其他标准或规格，则响应人应详细说明其采用的标准或规格，并向采购人提供其采用标准或规格的中文版本。只有当其采用的标准或规格是国际公认的、惯用的和国家强制性标准，且不低于本技术规范的要求时，响应人采用的标准或规格才能为采购人认可。</w:t>
      </w:r>
    </w:p>
    <w:p w14:paraId="72133A5E">
      <w:pPr>
        <w:pStyle w:val="2"/>
        <w:spacing w:line="360" w:lineRule="auto"/>
        <w:rPr>
          <w:rFonts w:hint="default"/>
          <w:highlight w:val="none"/>
          <w:lang w:val="en-US" w:eastAsia="zh-CN"/>
        </w:rPr>
      </w:pPr>
    </w:p>
    <w:p w14:paraId="10D529F9">
      <w:pPr>
        <w:numPr>
          <w:ilvl w:val="0"/>
          <w:numId w:val="0"/>
        </w:numPr>
        <w:tabs>
          <w:tab w:val="left" w:pos="0"/>
        </w:tabs>
        <w:spacing w:line="360" w:lineRule="auto"/>
        <w:rPr>
          <w:rFonts w:hint="eastAsia"/>
          <w:b/>
          <w:bCs/>
          <w:sz w:val="24"/>
          <w:highlight w:val="none"/>
          <w:lang w:val="en-US" w:eastAsia="zh-CN"/>
        </w:rPr>
      </w:pPr>
      <w:r>
        <w:rPr>
          <w:rFonts w:hint="eastAsia"/>
          <w:b/>
          <w:bCs/>
          <w:sz w:val="24"/>
          <w:highlight w:val="none"/>
          <w:lang w:val="en-US" w:eastAsia="zh-CN"/>
        </w:rPr>
        <w:t>5、系统要求</w:t>
      </w:r>
    </w:p>
    <w:p w14:paraId="1086A1AC">
      <w:pPr>
        <w:keepNext w:val="0"/>
        <w:keepLines w:val="0"/>
        <w:widowControl w:val="0"/>
        <w:suppressLineNumbers w:val="0"/>
        <w:spacing w:before="120" w:beforeAutospacing="0" w:after="0" w:afterAutospacing="0" w:line="360" w:lineRule="auto"/>
        <w:ind w:left="0" w:right="0"/>
        <w:jc w:val="both"/>
        <w:textAlignment w:val="baseline"/>
        <w:outlineLvl w:val="2"/>
        <w:rPr>
          <w:rFonts w:hint="eastAsia" w:ascii="宋体" w:hAnsi="宋体" w:eastAsia="宋体" w:cs="宋体"/>
          <w:b/>
          <w:bCs/>
          <w:kern w:val="2"/>
          <w:sz w:val="21"/>
          <w:szCs w:val="21"/>
          <w:highlight w:val="none"/>
          <w:vertAlign w:val="baseline"/>
          <w:woUserID w:val="1"/>
        </w:rPr>
      </w:pPr>
      <w:bookmarkStart w:id="3" w:name="_Toc505066194"/>
      <w:r>
        <w:rPr>
          <w:rFonts w:hint="eastAsia" w:ascii="宋体" w:hAnsi="宋体" w:eastAsia="宋体" w:cs="宋体"/>
          <w:b/>
          <w:bCs/>
          <w:kern w:val="2"/>
          <w:sz w:val="21"/>
          <w:szCs w:val="21"/>
          <w:highlight w:val="none"/>
          <w:vertAlign w:val="baseline"/>
          <w:lang w:val="en-US" w:eastAsia="zh-CN" w:bidi="ar"/>
          <w:woUserID w:val="1"/>
        </w:rPr>
        <w:t>5.1汽车采样机设备</w:t>
      </w:r>
    </w:p>
    <w:p w14:paraId="4B0BEB87">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本项目新购</w:t>
      </w:r>
      <w:r>
        <w:rPr>
          <w:rFonts w:hint="default" w:ascii="Calibri" w:hAnsi="Calibri" w:eastAsia="宋体" w:cs="Times New Roman"/>
          <w:color w:val="000000"/>
          <w:kern w:val="2"/>
          <w:sz w:val="21"/>
          <w:szCs w:val="21"/>
          <w:highlight w:val="none"/>
          <w:u w:val="single"/>
          <w:lang w:val="en-US" w:eastAsia="zh-CN" w:bidi="ar"/>
          <w:woUserID w:val="1"/>
        </w:rPr>
        <w:t>2</w:t>
      </w:r>
      <w:r>
        <w:rPr>
          <w:rFonts w:hint="eastAsia" w:ascii="宋体" w:hAnsi="宋体" w:eastAsia="宋体" w:cs="宋体"/>
          <w:color w:val="000000"/>
          <w:kern w:val="2"/>
          <w:sz w:val="21"/>
          <w:szCs w:val="21"/>
          <w:highlight w:val="none"/>
          <w:lang w:val="en-US" w:eastAsia="zh-CN" w:bidi="ar"/>
          <w:woUserID w:val="1"/>
        </w:rPr>
        <w:t>台固定车厢采样机，布置在汽车来煤路线上，采样机平行布置，响应人设计时考虑整体性保持一致</w:t>
      </w:r>
      <w:r>
        <w:rPr>
          <w:rFonts w:hint="eastAsia" w:ascii="宋体" w:hAnsi="宋体" w:eastAsia="宋体" w:cs="宋体"/>
          <w:color w:val="000000"/>
          <w:kern w:val="2"/>
          <w:sz w:val="21"/>
          <w:szCs w:val="21"/>
          <w:highlight w:val="none"/>
          <w:lang w:val="en-US" w:eastAsia="zh" w:bidi="ar"/>
          <w:woUserID w:val="1"/>
        </w:rPr>
        <w:t>，采样机设计需满足现有重型货车标准</w:t>
      </w:r>
      <w:r>
        <w:rPr>
          <w:rFonts w:hint="eastAsia" w:ascii="宋体" w:hAnsi="宋体" w:eastAsia="宋体" w:cs="宋体"/>
          <w:color w:val="000000"/>
          <w:kern w:val="2"/>
          <w:sz w:val="21"/>
          <w:szCs w:val="21"/>
          <w:highlight w:val="none"/>
          <w:lang w:val="en-US" w:eastAsia="zh-CN" w:bidi="ar"/>
          <w:woUserID w:val="1"/>
        </w:rPr>
        <w:t>。</w:t>
      </w:r>
    </w:p>
    <w:p w14:paraId="07207127">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设计参数详见下表。</w:t>
      </w:r>
    </w:p>
    <w:p w14:paraId="47DF4877">
      <w:pPr>
        <w:keepNext w:val="0"/>
        <w:keepLines w:val="0"/>
        <w:widowControl w:val="0"/>
        <w:suppressLineNumbers w:val="0"/>
        <w:spacing w:before="0" w:beforeAutospacing="0" w:after="0" w:afterAutospacing="0" w:line="360" w:lineRule="auto"/>
        <w:ind w:left="0" w:right="0" w:firstLine="0" w:firstLineChars="0"/>
        <w:jc w:val="center"/>
        <w:rPr>
          <w:rFonts w:hint="eastAsia" w:ascii="Calibri" w:hAnsi="Calibri" w:eastAsia="宋体" w:cs="Times New Roman"/>
          <w:color w:val="000000"/>
          <w:kern w:val="2"/>
          <w:sz w:val="21"/>
          <w:szCs w:val="21"/>
          <w:highlight w:val="none"/>
          <w:lang w:eastAsia="zh"/>
          <w:woUserID w:val="1"/>
        </w:rPr>
      </w:pPr>
      <w:r>
        <w:rPr>
          <w:rFonts w:hint="eastAsia" w:ascii="宋体" w:hAnsi="宋体" w:eastAsia="宋体" w:cs="宋体"/>
          <w:color w:val="000000"/>
          <w:kern w:val="2"/>
          <w:sz w:val="21"/>
          <w:szCs w:val="21"/>
          <w:highlight w:val="none"/>
          <w:lang w:val="en-US" w:eastAsia="zh-CN" w:bidi="ar"/>
          <w:woUserID w:val="1"/>
        </w:rPr>
        <w:t>表</w:t>
      </w:r>
      <w:r>
        <w:rPr>
          <w:rFonts w:hint="default" w:ascii="Calibri" w:hAnsi="Calibri" w:eastAsia="宋体" w:cs="Times New Roman"/>
          <w:color w:val="000000"/>
          <w:kern w:val="2"/>
          <w:sz w:val="21"/>
          <w:szCs w:val="21"/>
          <w:highlight w:val="none"/>
          <w:lang w:val="en-US" w:eastAsia="zh-CN" w:bidi="ar"/>
          <w:woUserID w:val="1"/>
        </w:rPr>
        <w:t>2.2</w:t>
      </w:r>
      <w:r>
        <w:rPr>
          <w:rFonts w:hint="eastAsia" w:ascii="宋体" w:hAnsi="宋体" w:eastAsia="宋体" w:cs="宋体"/>
          <w:color w:val="000000"/>
          <w:kern w:val="2"/>
          <w:sz w:val="21"/>
          <w:szCs w:val="21"/>
          <w:highlight w:val="none"/>
          <w:lang w:val="en-US" w:eastAsia="zh-CN" w:bidi="ar"/>
          <w:woUserID w:val="1"/>
        </w:rPr>
        <w:t>入厂汽车煤采样机设计参数</w:t>
      </w:r>
      <w:r>
        <w:rPr>
          <w:rFonts w:hint="eastAsia" w:ascii="宋体" w:hAnsi="宋体" w:eastAsia="宋体" w:cs="宋体"/>
          <w:color w:val="000000"/>
          <w:kern w:val="2"/>
          <w:sz w:val="21"/>
          <w:szCs w:val="21"/>
          <w:highlight w:val="none"/>
          <w:lang w:val="en-US" w:eastAsia="zh" w:bidi="ar"/>
          <w:woUserID w:val="1"/>
        </w:rPr>
        <w:t>（</w:t>
      </w:r>
      <w:r>
        <w:rPr>
          <w:rFonts w:hint="eastAsia" w:ascii="宋体" w:hAnsi="宋体" w:eastAsia="宋体" w:cs="宋体"/>
          <w:color w:val="000000"/>
          <w:kern w:val="2"/>
          <w:sz w:val="21"/>
          <w:szCs w:val="21"/>
          <w:highlight w:val="none"/>
          <w:lang w:val="en-US" w:eastAsia="zh-CN" w:bidi="ar"/>
          <w:woUserID w:val="1"/>
        </w:rPr>
        <w:t>响应人</w:t>
      </w:r>
      <w:r>
        <w:rPr>
          <w:rFonts w:hint="eastAsia" w:ascii="宋体" w:hAnsi="宋体" w:eastAsia="宋体" w:cs="宋体"/>
          <w:color w:val="000000"/>
          <w:kern w:val="2"/>
          <w:sz w:val="21"/>
          <w:szCs w:val="21"/>
          <w:highlight w:val="none"/>
          <w:lang w:val="en-US" w:eastAsia="zh" w:bidi="ar"/>
          <w:woUserID w:val="1"/>
        </w:rPr>
        <w:t>负责填写）</w:t>
      </w:r>
    </w:p>
    <w:tbl>
      <w:tblPr>
        <w:tblStyle w:val="15"/>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3"/>
        <w:gridCol w:w="1511"/>
        <w:gridCol w:w="1185"/>
        <w:gridCol w:w="1185"/>
        <w:gridCol w:w="1187"/>
        <w:gridCol w:w="1243"/>
        <w:gridCol w:w="1243"/>
      </w:tblGrid>
      <w:tr w14:paraId="00F9A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79E8F34B">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序号</w:t>
            </w:r>
          </w:p>
        </w:tc>
        <w:tc>
          <w:tcPr>
            <w:tcW w:w="1511" w:type="dxa"/>
            <w:tcBorders>
              <w:top w:val="single" w:color="auto" w:sz="4" w:space="0"/>
              <w:left w:val="single" w:color="auto" w:sz="4" w:space="0"/>
              <w:bottom w:val="single" w:color="auto" w:sz="4" w:space="0"/>
              <w:right w:val="single" w:color="auto" w:sz="4" w:space="0"/>
            </w:tcBorders>
            <w:shd w:val="clear" w:color="auto" w:fill="auto"/>
            <w:vAlign w:val="center"/>
          </w:tcPr>
          <w:p w14:paraId="0AE90B39">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标称最大粒度</w:t>
            </w:r>
          </w:p>
          <w:p w14:paraId="77CBC727">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w:t>
            </w:r>
            <w:r>
              <w:rPr>
                <w:rFonts w:hint="default" w:ascii="Calibri" w:hAnsi="Calibri" w:eastAsia="宋体" w:cs="Times New Roman"/>
                <w:color w:val="000000"/>
                <w:kern w:val="2"/>
                <w:sz w:val="21"/>
                <w:szCs w:val="21"/>
                <w:highlight w:val="none"/>
                <w:lang w:val="en-US" w:eastAsia="zh-CN" w:bidi="ar"/>
                <w:woUserID w:val="1"/>
              </w:rPr>
              <w:t>mm</w:t>
            </w:r>
            <w:r>
              <w:rPr>
                <w:rFonts w:hint="eastAsia" w:ascii="宋体" w:hAnsi="宋体" w:eastAsia="宋体" w:cs="宋体"/>
                <w:color w:val="000000"/>
                <w:kern w:val="2"/>
                <w:sz w:val="21"/>
                <w:szCs w:val="21"/>
                <w:highlight w:val="none"/>
                <w:lang w:val="en-US" w:eastAsia="zh-CN" w:bidi="ar"/>
                <w:woUserID w:val="1"/>
              </w:rPr>
              <w:t>）</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14:paraId="6331D308">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车长</w:t>
            </w:r>
          </w:p>
          <w:p w14:paraId="7C8AFE76">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w:t>
            </w:r>
            <w:r>
              <w:rPr>
                <w:rFonts w:hint="default" w:ascii="Calibri" w:hAnsi="Calibri" w:eastAsia="宋体" w:cs="Times New Roman"/>
                <w:color w:val="000000"/>
                <w:kern w:val="2"/>
                <w:sz w:val="21"/>
                <w:szCs w:val="21"/>
                <w:highlight w:val="none"/>
                <w:lang w:val="en-US" w:eastAsia="zh-CN" w:bidi="ar"/>
                <w:woUserID w:val="1"/>
              </w:rPr>
              <w:t>m</w:t>
            </w:r>
            <w:r>
              <w:rPr>
                <w:rFonts w:hint="eastAsia" w:ascii="宋体" w:hAnsi="宋体" w:eastAsia="宋体" w:cs="宋体"/>
                <w:color w:val="000000"/>
                <w:kern w:val="2"/>
                <w:sz w:val="21"/>
                <w:szCs w:val="21"/>
                <w:highlight w:val="none"/>
                <w:lang w:val="en-US" w:eastAsia="zh-CN" w:bidi="ar"/>
                <w:woUserID w:val="1"/>
              </w:rPr>
              <w:t>）</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14:paraId="79F1D4F8">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车宽</w:t>
            </w:r>
          </w:p>
          <w:p w14:paraId="142CD249">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Times New Roman"/>
                <w:color w:val="000000"/>
                <w:kern w:val="2"/>
                <w:sz w:val="21"/>
                <w:szCs w:val="21"/>
                <w:highlight w:val="none"/>
                <w:lang w:val="en-US" w:eastAsia="zh-CN" w:bidi="ar"/>
                <w:woUserID w:val="1"/>
              </w:rPr>
              <w:t>(m)</w:t>
            </w:r>
          </w:p>
        </w:tc>
        <w:tc>
          <w:tcPr>
            <w:tcW w:w="1187" w:type="dxa"/>
            <w:tcBorders>
              <w:top w:val="single" w:color="auto" w:sz="4" w:space="0"/>
              <w:left w:val="single" w:color="auto" w:sz="4" w:space="0"/>
              <w:bottom w:val="single" w:color="auto" w:sz="4" w:space="0"/>
              <w:right w:val="single" w:color="auto" w:sz="4" w:space="0"/>
            </w:tcBorders>
            <w:shd w:val="clear" w:color="auto" w:fill="auto"/>
            <w:vAlign w:val="center"/>
          </w:tcPr>
          <w:p w14:paraId="0B31A0DD">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车高</w:t>
            </w:r>
          </w:p>
          <w:p w14:paraId="6588C9FA">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w:t>
            </w:r>
            <w:r>
              <w:rPr>
                <w:rFonts w:hint="default" w:ascii="Calibri" w:hAnsi="Calibri" w:eastAsia="宋体" w:cs="Times New Roman"/>
                <w:color w:val="000000"/>
                <w:kern w:val="2"/>
                <w:sz w:val="21"/>
                <w:szCs w:val="21"/>
                <w:highlight w:val="none"/>
                <w:lang w:val="en-US" w:eastAsia="zh-CN" w:bidi="ar"/>
                <w:woUserID w:val="1"/>
              </w:rPr>
              <w:t>m</w:t>
            </w:r>
            <w:r>
              <w:rPr>
                <w:rFonts w:hint="eastAsia" w:ascii="宋体" w:hAnsi="宋体" w:eastAsia="宋体" w:cs="宋体"/>
                <w:color w:val="000000"/>
                <w:kern w:val="2"/>
                <w:sz w:val="21"/>
                <w:szCs w:val="21"/>
                <w:highlight w:val="none"/>
                <w:lang w:val="en-US" w:eastAsia="zh-CN" w:bidi="ar"/>
                <w:woUserID w:val="1"/>
              </w:rPr>
              <w:t>）</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14:paraId="3ABC7FB6">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车厢离地高度（</w:t>
            </w:r>
            <w:r>
              <w:rPr>
                <w:rFonts w:hint="default" w:ascii="Calibri" w:hAnsi="Calibri" w:eastAsia="宋体" w:cs="Times New Roman"/>
                <w:color w:val="000000"/>
                <w:kern w:val="2"/>
                <w:sz w:val="21"/>
                <w:szCs w:val="21"/>
                <w:highlight w:val="none"/>
                <w:lang w:val="en-US" w:eastAsia="zh-CN" w:bidi="ar"/>
                <w:woUserID w:val="1"/>
              </w:rPr>
              <w:t>m</w:t>
            </w:r>
            <w:r>
              <w:rPr>
                <w:rFonts w:hint="eastAsia" w:ascii="宋体" w:hAnsi="宋体" w:eastAsia="宋体" w:cs="宋体"/>
                <w:color w:val="000000"/>
                <w:kern w:val="2"/>
                <w:sz w:val="21"/>
                <w:szCs w:val="21"/>
                <w:highlight w:val="none"/>
                <w:lang w:val="en-US" w:eastAsia="zh-CN" w:bidi="ar"/>
                <w:woUserID w:val="1"/>
              </w:rPr>
              <w:t>）</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14:paraId="497A2FCB">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备注</w:t>
            </w:r>
          </w:p>
        </w:tc>
      </w:tr>
      <w:tr w14:paraId="2489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12886C0C">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woUserID w:val="1"/>
              </w:rPr>
            </w:pPr>
          </w:p>
        </w:tc>
        <w:tc>
          <w:tcPr>
            <w:tcW w:w="1511" w:type="dxa"/>
            <w:tcBorders>
              <w:top w:val="single" w:color="auto" w:sz="4" w:space="0"/>
              <w:left w:val="single" w:color="auto" w:sz="4" w:space="0"/>
              <w:bottom w:val="single" w:color="auto" w:sz="4" w:space="0"/>
              <w:right w:val="single" w:color="auto" w:sz="4" w:space="0"/>
            </w:tcBorders>
            <w:shd w:val="clear" w:color="auto" w:fill="auto"/>
            <w:vAlign w:val="center"/>
          </w:tcPr>
          <w:p w14:paraId="1552E4A1">
            <w:pPr>
              <w:keepNext w:val="0"/>
              <w:keepLines w:val="0"/>
              <w:widowControl w:val="0"/>
              <w:suppressLineNumbers w:val="0"/>
              <w:spacing w:before="0" w:beforeAutospacing="0" w:after="0" w:afterAutospacing="0" w:line="360" w:lineRule="auto"/>
              <w:ind w:left="0" w:right="0" w:firstLine="0" w:firstLineChars="0"/>
              <w:jc w:val="both"/>
              <w:rPr>
                <w:rFonts w:hint="default" w:ascii="Calibri" w:hAnsi="Calibri" w:eastAsia="宋体" w:cs="Times New Roman"/>
                <w:color w:val="000000"/>
                <w:kern w:val="2"/>
                <w:sz w:val="21"/>
                <w:szCs w:val="21"/>
                <w:highlight w:val="none"/>
                <w:woUserID w:val="1"/>
              </w:rPr>
            </w:pP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14:paraId="7CF3C988">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highlight w:val="none"/>
                <w:lang w:eastAsia="zh"/>
                <w:woUserID w:val="1"/>
              </w:rPr>
            </w:pP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14:paraId="7873F8A2">
            <w:pPr>
              <w:keepNext w:val="0"/>
              <w:keepLines w:val="0"/>
              <w:widowControl w:val="0"/>
              <w:suppressLineNumbers w:val="0"/>
              <w:spacing w:before="0" w:beforeAutospacing="0" w:after="0" w:afterAutospacing="0" w:line="360" w:lineRule="auto"/>
              <w:ind w:left="0" w:right="0" w:firstLine="0" w:firstLineChars="0"/>
              <w:jc w:val="both"/>
              <w:rPr>
                <w:rFonts w:hint="default" w:ascii="Calibri" w:hAnsi="Calibri" w:eastAsia="宋体" w:cs="Times New Roman"/>
                <w:color w:val="000000"/>
                <w:kern w:val="2"/>
                <w:sz w:val="21"/>
                <w:szCs w:val="21"/>
                <w:highlight w:val="none"/>
                <w:woUserID w:val="1"/>
              </w:rPr>
            </w:pPr>
          </w:p>
        </w:tc>
        <w:tc>
          <w:tcPr>
            <w:tcW w:w="1187" w:type="dxa"/>
            <w:tcBorders>
              <w:top w:val="single" w:color="auto" w:sz="4" w:space="0"/>
              <w:left w:val="single" w:color="auto" w:sz="4" w:space="0"/>
              <w:bottom w:val="single" w:color="auto" w:sz="4" w:space="0"/>
              <w:right w:val="single" w:color="auto" w:sz="4" w:space="0"/>
            </w:tcBorders>
            <w:shd w:val="clear" w:color="auto" w:fill="auto"/>
            <w:vAlign w:val="center"/>
          </w:tcPr>
          <w:p w14:paraId="25F15C38">
            <w:pPr>
              <w:keepNext w:val="0"/>
              <w:keepLines w:val="0"/>
              <w:widowControl w:val="0"/>
              <w:suppressLineNumbers w:val="0"/>
              <w:spacing w:before="0" w:beforeAutospacing="0" w:after="0" w:afterAutospacing="0" w:line="360" w:lineRule="auto"/>
              <w:ind w:left="0" w:right="0" w:firstLine="0" w:firstLineChars="0"/>
              <w:jc w:val="both"/>
              <w:rPr>
                <w:rFonts w:hint="default" w:ascii="Calibri" w:hAnsi="Calibri" w:eastAsia="宋体" w:cs="Times New Roman"/>
                <w:color w:val="000000"/>
                <w:kern w:val="2"/>
                <w:sz w:val="21"/>
                <w:szCs w:val="21"/>
                <w:highlight w:val="none"/>
                <w:woUserID w:val="1"/>
              </w:rPr>
            </w:pP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14:paraId="7DDC49F8">
            <w:pPr>
              <w:keepNext w:val="0"/>
              <w:keepLines w:val="0"/>
              <w:widowControl w:val="0"/>
              <w:suppressLineNumbers w:val="0"/>
              <w:spacing w:before="0" w:beforeAutospacing="0" w:after="0" w:afterAutospacing="0" w:line="360" w:lineRule="auto"/>
              <w:ind w:left="0" w:right="0" w:firstLine="0" w:firstLineChars="0"/>
              <w:jc w:val="both"/>
              <w:rPr>
                <w:rFonts w:hint="default" w:ascii="Calibri" w:hAnsi="Calibri" w:eastAsia="宋体" w:cs="Times New Roman"/>
                <w:color w:val="000000"/>
                <w:kern w:val="2"/>
                <w:sz w:val="21"/>
                <w:szCs w:val="21"/>
                <w:highlight w:val="none"/>
                <w:woUserID w:val="1"/>
              </w:rPr>
            </w:pP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14:paraId="01405A14">
            <w:pPr>
              <w:keepNext w:val="0"/>
              <w:keepLines w:val="0"/>
              <w:widowControl w:val="0"/>
              <w:suppressLineNumbers w:val="0"/>
              <w:spacing w:before="0" w:beforeAutospacing="0" w:after="0" w:afterAutospacing="0" w:line="360" w:lineRule="auto"/>
              <w:ind w:left="0" w:right="0" w:firstLine="0" w:firstLineChars="0"/>
              <w:jc w:val="both"/>
              <w:rPr>
                <w:rFonts w:hint="default" w:ascii="Calibri" w:hAnsi="Calibri" w:eastAsia="宋体" w:cs="Times New Roman"/>
                <w:color w:val="000000"/>
                <w:kern w:val="2"/>
                <w:sz w:val="21"/>
                <w:szCs w:val="21"/>
                <w:highlight w:val="none"/>
                <w:woUserID w:val="1"/>
              </w:rPr>
            </w:pPr>
          </w:p>
        </w:tc>
      </w:tr>
    </w:tbl>
    <w:p w14:paraId="0B7E2935">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rPr>
          <w:rFonts w:hint="eastAsia" w:ascii="宋体" w:hAnsi="宋体" w:eastAsia="宋体" w:cs="宋体"/>
          <w:b/>
          <w:bCs/>
          <w:kern w:val="2"/>
          <w:sz w:val="21"/>
          <w:szCs w:val="21"/>
          <w:highlight w:val="none"/>
          <w:woUserID w:val="1"/>
        </w:rPr>
      </w:pPr>
    </w:p>
    <w:p w14:paraId="792591A6">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1"/>
          <w:szCs w:val="21"/>
          <w:highlight w:val="none"/>
          <w:woUserID w:val="1"/>
        </w:rPr>
      </w:pPr>
      <w:r>
        <w:rPr>
          <w:rFonts w:hint="eastAsia" w:ascii="宋体" w:hAnsi="宋体" w:eastAsia="宋体" w:cs="宋体"/>
          <w:b/>
          <w:bCs/>
          <w:kern w:val="2"/>
          <w:sz w:val="21"/>
          <w:szCs w:val="21"/>
          <w:highlight w:val="none"/>
          <w:woUserID w:val="1"/>
        </w:rPr>
        <w:t>5.1.1.总体要求</w:t>
      </w:r>
    </w:p>
    <w:p w14:paraId="1018EBD2">
      <w:pPr>
        <w:keepNext w:val="0"/>
        <w:keepLines w:val="0"/>
        <w:widowControl w:val="0"/>
        <w:suppressLineNumbers w:val="0"/>
        <w:spacing w:before="0" w:beforeAutospacing="0" w:after="0" w:afterAutospacing="0" w:line="360" w:lineRule="auto"/>
        <w:ind w:left="0" w:leftChars="0" w:right="0" w:firstLine="420" w:firstLineChars="200"/>
        <w:jc w:val="both"/>
        <w:rPr>
          <w:rFonts w:hint="eastAsia" w:ascii="宋体" w:hAnsi="宋体" w:eastAsia="宋体" w:cs="宋体"/>
          <w:kern w:val="2"/>
          <w:sz w:val="24"/>
          <w:szCs w:val="24"/>
          <w:highlight w:val="none"/>
          <w:woUserID w:val="1"/>
        </w:rPr>
      </w:pPr>
      <w:r>
        <w:rPr>
          <w:rFonts w:hint="default" w:ascii="Calibri" w:hAnsi="Calibri" w:eastAsia="宋体" w:cs="Calibri"/>
          <w:kern w:val="2"/>
          <w:sz w:val="21"/>
          <w:szCs w:val="21"/>
          <w:highlight w:val="none"/>
          <w:lang w:val="en-US" w:eastAsia="zh-CN" w:bidi="ar"/>
          <w:woUserID w:val="1"/>
        </w:rPr>
        <w:t>1</w:t>
      </w:r>
      <w:r>
        <w:rPr>
          <w:rFonts w:hint="eastAsia" w:ascii="宋体" w:hAnsi="宋体" w:eastAsia="宋体" w:cs="宋体"/>
          <w:kern w:val="2"/>
          <w:sz w:val="21"/>
          <w:szCs w:val="21"/>
          <w:highlight w:val="none"/>
          <w:lang w:val="en-US" w:eastAsia="zh-CN" w:bidi="ar"/>
          <w:woUserID w:val="1"/>
        </w:rPr>
        <w:t xml:space="preserve">） </w:t>
      </w:r>
      <w:r>
        <w:rPr>
          <w:rFonts w:hint="eastAsia" w:ascii="宋体" w:hAnsi="宋体" w:eastAsia="宋体" w:cs="宋体"/>
          <w:kern w:val="2"/>
          <w:sz w:val="21"/>
          <w:szCs w:val="21"/>
          <w:highlight w:val="none"/>
          <w:lang w:val="en-US" w:eastAsia="zh" w:bidi="ar"/>
          <w:woUserID w:val="1"/>
        </w:rPr>
        <w:t>对现有</w:t>
      </w:r>
      <w:r>
        <w:rPr>
          <w:rFonts w:hint="default" w:ascii="Calibri" w:hAnsi="Calibri" w:eastAsia="宋体" w:cs="Calibri"/>
          <w:kern w:val="2"/>
          <w:sz w:val="21"/>
          <w:szCs w:val="21"/>
          <w:highlight w:val="none"/>
          <w:lang w:val="en-US" w:eastAsia="zh-CN" w:bidi="ar"/>
          <w:woUserID w:val="1"/>
        </w:rPr>
        <w:t>2</w:t>
      </w:r>
      <w:r>
        <w:rPr>
          <w:rFonts w:hint="eastAsia" w:ascii="宋体" w:hAnsi="宋体" w:eastAsia="宋体" w:cs="宋体"/>
          <w:kern w:val="2"/>
          <w:sz w:val="21"/>
          <w:szCs w:val="21"/>
          <w:highlight w:val="none"/>
          <w:lang w:val="en-US" w:eastAsia="zh-CN" w:bidi="ar"/>
          <w:woUserID w:val="1"/>
        </w:rPr>
        <w:t>套汽车采样机</w:t>
      </w:r>
      <w:r>
        <w:rPr>
          <w:rFonts w:hint="eastAsia" w:ascii="宋体" w:hAnsi="宋体" w:eastAsia="宋体" w:cs="宋体"/>
          <w:kern w:val="2"/>
          <w:sz w:val="21"/>
          <w:szCs w:val="21"/>
          <w:highlight w:val="none"/>
          <w:lang w:val="en-US" w:eastAsia="zh" w:bidi="ar"/>
          <w:woUserID w:val="1"/>
        </w:rPr>
        <w:t>升级改造</w:t>
      </w:r>
      <w:r>
        <w:rPr>
          <w:rFonts w:hint="eastAsia" w:ascii="宋体" w:hAnsi="宋体" w:eastAsia="宋体" w:cs="宋体"/>
          <w:kern w:val="2"/>
          <w:sz w:val="21"/>
          <w:szCs w:val="21"/>
          <w:highlight w:val="none"/>
          <w:lang w:val="en-US" w:eastAsia="zh-CN" w:bidi="ar"/>
          <w:woUserID w:val="1"/>
        </w:rPr>
        <w:t>，汽车采样设备为桥式结构，整机全水分损失率不大于</w:t>
      </w:r>
      <w:r>
        <w:rPr>
          <w:rFonts w:hint="default" w:ascii="Calibri" w:hAnsi="Calibri" w:eastAsia="宋体" w:cs="Calibri"/>
          <w:kern w:val="2"/>
          <w:sz w:val="21"/>
          <w:szCs w:val="21"/>
          <w:highlight w:val="none"/>
          <w:lang w:val="en-US" w:eastAsia="zh-CN" w:bidi="ar"/>
          <w:woUserID w:val="1"/>
        </w:rPr>
        <w:t>1</w:t>
      </w:r>
      <w:r>
        <w:rPr>
          <w:rFonts w:hint="eastAsia" w:ascii="宋体" w:hAnsi="宋体" w:eastAsia="宋体" w:cs="宋体"/>
          <w:kern w:val="2"/>
          <w:sz w:val="21"/>
          <w:szCs w:val="21"/>
          <w:highlight w:val="none"/>
          <w:lang w:val="en-US" w:eastAsia="zh-CN" w:bidi="ar"/>
          <w:woUserID w:val="1"/>
        </w:rPr>
        <w:t>％。汽车采样机能够实现全断面采样（从煤顶至煤底），具有触底反弹保护功能，同时取样点的位置、数量由采购人制定的采样方案灵活设置，可精准识别判断车厢位置，同时具有检修平台。汽车停稳后，系统随机分配采样点，采样选点在任何工况条件下均确保为随机、有效，代表性强，不损伤车厢壁和汽车底板。行走机构均用变频控制，启停平稳，能与采样机构构成</w:t>
      </w:r>
      <w:r>
        <w:rPr>
          <w:rFonts w:hint="default" w:ascii="Calibri" w:hAnsi="Calibri" w:eastAsia="宋体" w:cs="Times New Roman"/>
          <w:kern w:val="2"/>
          <w:sz w:val="21"/>
          <w:szCs w:val="21"/>
          <w:highlight w:val="none"/>
          <w:lang w:val="en-US" w:eastAsia="zh-CN" w:bidi="ar"/>
          <w:woUserID w:val="1"/>
        </w:rPr>
        <w:t>X</w:t>
      </w:r>
      <w:r>
        <w:rPr>
          <w:rFonts w:hint="eastAsia" w:ascii="宋体" w:hAnsi="宋体" w:eastAsia="宋体" w:cs="宋体"/>
          <w:kern w:val="2"/>
          <w:sz w:val="21"/>
          <w:szCs w:val="21"/>
          <w:highlight w:val="none"/>
          <w:lang w:val="en-US" w:eastAsia="zh-CN" w:bidi="ar"/>
          <w:woUserID w:val="1"/>
        </w:rPr>
        <w:t>、</w:t>
      </w:r>
      <w:r>
        <w:rPr>
          <w:rFonts w:hint="default" w:ascii="Calibri" w:hAnsi="Calibri" w:eastAsia="宋体" w:cs="Calibri"/>
          <w:kern w:val="2"/>
          <w:sz w:val="21"/>
          <w:szCs w:val="21"/>
          <w:highlight w:val="none"/>
          <w:lang w:val="en-US" w:eastAsia="zh-CN" w:bidi="ar"/>
          <w:woUserID w:val="1"/>
        </w:rPr>
        <w:t>Y</w:t>
      </w:r>
      <w:r>
        <w:rPr>
          <w:rFonts w:hint="eastAsia" w:ascii="宋体" w:hAnsi="宋体" w:eastAsia="宋体" w:cs="宋体"/>
          <w:kern w:val="2"/>
          <w:sz w:val="21"/>
          <w:szCs w:val="21"/>
          <w:highlight w:val="none"/>
          <w:lang w:val="en-US" w:eastAsia="zh-CN" w:bidi="ar"/>
          <w:woUserID w:val="1"/>
        </w:rPr>
        <w:t>、</w:t>
      </w:r>
      <w:r>
        <w:rPr>
          <w:rFonts w:hint="default" w:ascii="Calibri" w:hAnsi="Calibri" w:eastAsia="宋体" w:cs="Calibri"/>
          <w:kern w:val="2"/>
          <w:sz w:val="21"/>
          <w:szCs w:val="21"/>
          <w:highlight w:val="none"/>
          <w:lang w:val="en-US" w:eastAsia="zh-CN" w:bidi="ar"/>
          <w:woUserID w:val="1"/>
        </w:rPr>
        <w:t>Z</w:t>
      </w:r>
      <w:r>
        <w:rPr>
          <w:rFonts w:hint="eastAsia" w:ascii="宋体" w:hAnsi="宋体" w:eastAsia="宋体" w:cs="宋体"/>
          <w:kern w:val="2"/>
          <w:sz w:val="21"/>
          <w:szCs w:val="21"/>
          <w:highlight w:val="none"/>
          <w:lang w:val="en-US" w:eastAsia="zh-CN" w:bidi="ar"/>
          <w:woUserID w:val="1"/>
        </w:rPr>
        <w:t>三维结构，实现汽车车厢随机多点全断面采样。</w:t>
      </w:r>
    </w:p>
    <w:p w14:paraId="4B62DA0B">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2</w:t>
      </w:r>
      <w:r>
        <w:rPr>
          <w:rFonts w:hint="eastAsia" w:ascii="宋体" w:hAnsi="宋体" w:eastAsia="宋体" w:cs="宋体"/>
          <w:kern w:val="2"/>
          <w:sz w:val="21"/>
          <w:szCs w:val="21"/>
          <w:highlight w:val="none"/>
          <w:lang w:val="en-US" w:eastAsia="zh-CN" w:bidi="ar"/>
          <w:woUserID w:val="1"/>
        </w:rPr>
        <w:t>） 桥式汽车入厂煤采样机包括：大小车行走机构、长螺旋采样装置、旁路溜管、除铁给料机、破碎、弃料缩分皮带机、智能封装系统、弃料仓、电气控制系统。</w:t>
      </w:r>
    </w:p>
    <w:p w14:paraId="177D420A">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3</w:t>
      </w:r>
      <w:r>
        <w:rPr>
          <w:rFonts w:hint="eastAsia" w:ascii="宋体" w:hAnsi="宋体" w:eastAsia="宋体" w:cs="宋体"/>
          <w:kern w:val="2"/>
          <w:sz w:val="21"/>
          <w:szCs w:val="21"/>
          <w:highlight w:val="none"/>
          <w:lang w:val="en-US" w:eastAsia="zh-CN" w:bidi="ar"/>
          <w:woUserID w:val="1"/>
        </w:rPr>
        <w:t>） 采样机满足全区域的采样要求。</w:t>
      </w:r>
    </w:p>
    <w:p w14:paraId="00D90546">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4</w:t>
      </w:r>
      <w:r>
        <w:rPr>
          <w:rFonts w:hint="eastAsia" w:ascii="宋体" w:hAnsi="宋体" w:eastAsia="宋体" w:cs="宋体"/>
          <w:kern w:val="2"/>
          <w:sz w:val="21"/>
          <w:szCs w:val="21"/>
          <w:highlight w:val="none"/>
          <w:lang w:val="en-US" w:eastAsia="zh-CN" w:bidi="ar"/>
          <w:woUserID w:val="1"/>
        </w:rPr>
        <w:t>） 余料排到弃料仓收集，定期由电厂自备弃料车运走。</w:t>
      </w:r>
    </w:p>
    <w:p w14:paraId="63A0D598">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5</w:t>
      </w:r>
      <w:r>
        <w:rPr>
          <w:rFonts w:hint="eastAsia" w:ascii="宋体" w:hAnsi="宋体" w:eastAsia="宋体" w:cs="宋体"/>
          <w:kern w:val="2"/>
          <w:sz w:val="21"/>
          <w:szCs w:val="21"/>
          <w:highlight w:val="none"/>
          <w:lang w:val="en-US" w:eastAsia="zh-CN" w:bidi="ar"/>
          <w:woUserID w:val="1"/>
        </w:rPr>
        <w:t>） 子样点分布：按国标</w:t>
      </w:r>
      <w:r>
        <w:rPr>
          <w:rFonts w:hint="default" w:ascii="Calibri" w:hAnsi="Calibri" w:eastAsia="宋体" w:cs="Calibri"/>
          <w:kern w:val="2"/>
          <w:sz w:val="21"/>
          <w:szCs w:val="21"/>
          <w:highlight w:val="none"/>
          <w:lang w:val="en-US" w:eastAsia="zh-CN" w:bidi="ar"/>
          <w:woUserID w:val="1"/>
        </w:rPr>
        <w:t>GB/T19494.1-2023</w:t>
      </w:r>
      <w:r>
        <w:rPr>
          <w:rFonts w:hint="eastAsia" w:ascii="宋体" w:hAnsi="宋体" w:eastAsia="宋体" w:cs="宋体"/>
          <w:kern w:val="2"/>
          <w:sz w:val="21"/>
          <w:szCs w:val="21"/>
          <w:highlight w:val="none"/>
          <w:lang w:val="en-US" w:eastAsia="zh-CN" w:bidi="ar"/>
          <w:woUserID w:val="1"/>
        </w:rPr>
        <w:t>煤炭机械化采样 第一部分：采样方法相关规定执行。</w:t>
      </w:r>
    </w:p>
    <w:p w14:paraId="7012CD5E">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6</w:t>
      </w:r>
      <w:r>
        <w:rPr>
          <w:rFonts w:hint="eastAsia" w:ascii="宋体" w:hAnsi="宋体" w:eastAsia="宋体" w:cs="宋体"/>
          <w:kern w:val="2"/>
          <w:sz w:val="21"/>
          <w:szCs w:val="21"/>
          <w:highlight w:val="none"/>
          <w:lang w:val="en-US" w:eastAsia="zh-CN" w:bidi="ar"/>
          <w:woUserID w:val="1"/>
        </w:rPr>
        <w:t>） 煤车停车熄火，启动开始按钮后采制样周期</w:t>
      </w:r>
      <w:r>
        <w:rPr>
          <w:rFonts w:hint="eastAsia" w:ascii="宋体" w:hAnsi="宋体" w:eastAsia="宋体" w:cs="宋体"/>
          <w:kern w:val="2"/>
          <w:sz w:val="21"/>
          <w:szCs w:val="21"/>
          <w:highlight w:val="none"/>
          <w:lang w:val="en-US" w:eastAsia="zh" w:bidi="ar"/>
          <w:woUserID w:val="1"/>
        </w:rPr>
        <w:t>≤</w:t>
      </w:r>
      <w:r>
        <w:rPr>
          <w:rFonts w:hint="default" w:ascii="Calibri" w:hAnsi="Calibri" w:eastAsia="宋体" w:cs="Calibri"/>
          <w:kern w:val="2"/>
          <w:sz w:val="21"/>
          <w:szCs w:val="21"/>
          <w:highlight w:val="none"/>
          <w:lang w:val="en-US" w:eastAsia="zh-CN" w:bidi="ar"/>
          <w:woUserID w:val="1"/>
        </w:rPr>
        <w:t>210</w:t>
      </w:r>
      <w:r>
        <w:rPr>
          <w:rFonts w:hint="eastAsia" w:ascii="宋体" w:hAnsi="宋体" w:eastAsia="宋体" w:cs="宋体"/>
          <w:kern w:val="2"/>
          <w:sz w:val="21"/>
          <w:szCs w:val="21"/>
          <w:highlight w:val="none"/>
          <w:lang w:val="en-US" w:eastAsia="zh-CN" w:bidi="ar"/>
          <w:woUserID w:val="1"/>
        </w:rPr>
        <w:t>秒</w:t>
      </w:r>
      <w:r>
        <w:rPr>
          <w:rFonts w:hint="default" w:ascii="Calibri" w:hAnsi="Calibri" w:eastAsia="宋体" w:cs="Calibri"/>
          <w:kern w:val="2"/>
          <w:sz w:val="21"/>
          <w:szCs w:val="21"/>
          <w:highlight w:val="none"/>
          <w:lang w:val="en-US" w:eastAsia="zh-CN" w:bidi="ar"/>
          <w:woUserID w:val="1"/>
        </w:rPr>
        <w:t>/</w:t>
      </w:r>
      <w:r>
        <w:rPr>
          <w:rFonts w:hint="eastAsia" w:ascii="宋体" w:hAnsi="宋体" w:eastAsia="宋体" w:cs="宋体"/>
          <w:kern w:val="2"/>
          <w:sz w:val="21"/>
          <w:szCs w:val="21"/>
          <w:highlight w:val="none"/>
          <w:lang w:val="en-US" w:eastAsia="zh-CN" w:bidi="ar"/>
          <w:woUserID w:val="1"/>
        </w:rPr>
        <w:t>连续</w:t>
      </w:r>
      <w:r>
        <w:rPr>
          <w:rFonts w:hint="default" w:ascii="Calibri" w:hAnsi="Calibri" w:eastAsia="宋体" w:cs="Calibri"/>
          <w:kern w:val="2"/>
          <w:sz w:val="21"/>
          <w:szCs w:val="21"/>
          <w:highlight w:val="none"/>
          <w:lang w:val="en-US" w:eastAsia="zh-CN" w:bidi="ar"/>
          <w:woUserID w:val="1"/>
        </w:rPr>
        <w:t>3</w:t>
      </w:r>
      <w:r>
        <w:rPr>
          <w:rFonts w:hint="eastAsia" w:ascii="宋体" w:hAnsi="宋体" w:eastAsia="宋体" w:cs="宋体"/>
          <w:kern w:val="2"/>
          <w:sz w:val="21"/>
          <w:szCs w:val="21"/>
          <w:highlight w:val="none"/>
          <w:lang w:val="en-US" w:eastAsia="zh-CN" w:bidi="ar"/>
          <w:woUserID w:val="1"/>
        </w:rPr>
        <w:t>点。</w:t>
      </w:r>
    </w:p>
    <w:p w14:paraId="59BA4BE4">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7</w:t>
      </w:r>
      <w:r>
        <w:rPr>
          <w:rFonts w:hint="eastAsia" w:ascii="宋体" w:hAnsi="宋体" w:eastAsia="宋体" w:cs="宋体"/>
          <w:kern w:val="2"/>
          <w:sz w:val="21"/>
          <w:szCs w:val="21"/>
          <w:highlight w:val="none"/>
          <w:lang w:val="en-US" w:eastAsia="zh-CN" w:bidi="ar"/>
          <w:woUserID w:val="1"/>
        </w:rPr>
        <w:t>） 子样数目和子样质量符合</w:t>
      </w:r>
      <w:r>
        <w:rPr>
          <w:rFonts w:hint="default" w:ascii="Calibri" w:hAnsi="Calibri" w:eastAsia="宋体" w:cs="Calibri"/>
          <w:kern w:val="2"/>
          <w:sz w:val="21"/>
          <w:szCs w:val="21"/>
          <w:highlight w:val="none"/>
          <w:lang w:val="en-US" w:eastAsia="zh-CN" w:bidi="ar"/>
          <w:woUserID w:val="1"/>
        </w:rPr>
        <w:t>GB19494.1-2004</w:t>
      </w:r>
      <w:r>
        <w:rPr>
          <w:rFonts w:hint="eastAsia" w:ascii="宋体" w:hAnsi="宋体" w:eastAsia="宋体" w:cs="宋体"/>
          <w:kern w:val="2"/>
          <w:sz w:val="21"/>
          <w:szCs w:val="21"/>
          <w:highlight w:val="none"/>
          <w:lang w:val="en-US" w:eastAsia="zh-CN" w:bidi="ar"/>
          <w:woUserID w:val="1"/>
        </w:rPr>
        <w:t>标准中的第</w:t>
      </w:r>
      <w:r>
        <w:rPr>
          <w:rFonts w:hint="default" w:ascii="Calibri" w:hAnsi="Calibri" w:eastAsia="宋体" w:cs="Calibri"/>
          <w:kern w:val="2"/>
          <w:sz w:val="21"/>
          <w:szCs w:val="21"/>
          <w:highlight w:val="none"/>
          <w:lang w:val="en-US" w:eastAsia="zh-CN" w:bidi="ar"/>
          <w:woUserID w:val="1"/>
        </w:rPr>
        <w:t>5</w:t>
      </w:r>
      <w:r>
        <w:rPr>
          <w:rFonts w:hint="eastAsia" w:ascii="宋体" w:hAnsi="宋体" w:eastAsia="宋体" w:cs="宋体"/>
          <w:kern w:val="2"/>
          <w:sz w:val="21"/>
          <w:szCs w:val="21"/>
          <w:highlight w:val="none"/>
          <w:lang w:val="en-US" w:eastAsia="zh-CN" w:bidi="ar"/>
          <w:woUserID w:val="1"/>
        </w:rPr>
        <w:t>条规定要求。</w:t>
      </w:r>
    </w:p>
    <w:p w14:paraId="34F07F20">
      <w:pPr>
        <w:keepNext w:val="0"/>
        <w:keepLines w:val="0"/>
        <w:widowControl w:val="0"/>
        <w:suppressLineNumbers w:val="0"/>
        <w:kinsoku w:val="0"/>
        <w:overflowPunct w:val="0"/>
        <w:autoSpaceDE w:val="0"/>
        <w:autoSpaceDN w:val="0"/>
        <w:spacing w:before="0" w:beforeAutospacing="0" w:after="0" w:afterAutospacing="0" w:line="360" w:lineRule="auto"/>
        <w:ind w:left="0" w:right="0" w:firstLine="420" w:firstLineChars="200"/>
        <w:jc w:val="both"/>
        <w:rPr>
          <w:rFonts w:hint="eastAsia" w:ascii="Calibri" w:hAnsi="Calibri" w:eastAsia="宋体" w:cs="Times New Roman"/>
          <w:kern w:val="2"/>
          <w:sz w:val="21"/>
          <w:szCs w:val="21"/>
          <w:highlight w:val="none"/>
          <w:woUserID w:val="1"/>
        </w:rPr>
      </w:pPr>
      <w:r>
        <w:rPr>
          <w:rFonts w:hint="default" w:ascii="Calibri" w:hAnsi="Calibri" w:eastAsia="宋体" w:cs="Calibri"/>
          <w:kern w:val="2"/>
          <w:sz w:val="21"/>
          <w:szCs w:val="21"/>
          <w:highlight w:val="none"/>
          <w:lang w:val="en-US" w:eastAsia="zh-CN" w:bidi="ar"/>
          <w:woUserID w:val="1"/>
        </w:rPr>
        <w:t>8</w:t>
      </w:r>
      <w:r>
        <w:rPr>
          <w:rFonts w:hint="eastAsia" w:ascii="宋体" w:hAnsi="宋体" w:eastAsia="宋体" w:cs="宋体"/>
          <w:kern w:val="2"/>
          <w:sz w:val="21"/>
          <w:szCs w:val="21"/>
          <w:highlight w:val="none"/>
          <w:lang w:val="en-US" w:eastAsia="zh-CN" w:bidi="ar"/>
          <w:woUserID w:val="1"/>
        </w:rPr>
        <w:t xml:space="preserve">） 设备工作噪音 </w:t>
      </w:r>
      <w:r>
        <w:rPr>
          <w:rFonts w:hint="default" w:ascii="Calibri" w:hAnsi="Calibri" w:eastAsia="宋体" w:cs="Calibri"/>
          <w:kern w:val="2"/>
          <w:sz w:val="21"/>
          <w:szCs w:val="21"/>
          <w:highlight w:val="none"/>
          <w:lang w:val="en-US" w:eastAsia="zh-CN" w:bidi="ar"/>
          <w:woUserID w:val="1"/>
        </w:rPr>
        <w:t xml:space="preserve">: </w:t>
      </w:r>
      <w:r>
        <w:rPr>
          <w:rFonts w:hint="eastAsia" w:ascii="宋体" w:hAnsi="宋体" w:eastAsia="宋体" w:cs="宋体"/>
          <w:kern w:val="2"/>
          <w:sz w:val="21"/>
          <w:szCs w:val="21"/>
          <w:highlight w:val="none"/>
          <w:lang w:val="en-US" w:eastAsia="zh" w:bidi="ar"/>
          <w:woUserID w:val="1"/>
        </w:rPr>
        <w:t>≤</w:t>
      </w:r>
      <w:r>
        <w:rPr>
          <w:rFonts w:hint="default" w:ascii="Calibri" w:hAnsi="Calibri" w:eastAsia="宋体" w:cs="Calibri"/>
          <w:kern w:val="2"/>
          <w:sz w:val="21"/>
          <w:szCs w:val="21"/>
          <w:highlight w:val="none"/>
          <w:lang w:val="en-US" w:eastAsia="zh-CN" w:bidi="ar"/>
          <w:woUserID w:val="1"/>
        </w:rPr>
        <w:t>85dB</w:t>
      </w:r>
    </w:p>
    <w:p w14:paraId="76448127">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Calibri"/>
          <w:color w:val="000000"/>
          <w:kern w:val="2"/>
          <w:sz w:val="21"/>
          <w:szCs w:val="21"/>
          <w:highlight w:val="none"/>
          <w:lang w:val="en-US" w:eastAsia="zh-CN" w:bidi="ar"/>
          <w:woUserID w:val="1"/>
        </w:rPr>
        <w:t>9</w:t>
      </w:r>
      <w:r>
        <w:rPr>
          <w:rFonts w:hint="eastAsia" w:ascii="宋体" w:hAnsi="宋体" w:eastAsia="宋体" w:cs="宋体"/>
          <w:color w:val="000000"/>
          <w:kern w:val="2"/>
          <w:sz w:val="21"/>
          <w:szCs w:val="21"/>
          <w:highlight w:val="none"/>
          <w:lang w:val="en-US" w:eastAsia="zh-CN" w:bidi="ar"/>
          <w:woUserID w:val="1"/>
        </w:rPr>
        <w:t>）采样结束后，语音提示系统和红绿灯与汽车采样机完全复位信号联锁，确保不发生车辆采样过程中误动，自动识别控制系统通过语音提示及屏幕显示提示车辆是否可以进行采样，采样完成后通过语音提示车辆是否可以离开。</w:t>
      </w:r>
    </w:p>
    <w:p w14:paraId="58A3467D">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Calibri"/>
          <w:color w:val="000000"/>
          <w:kern w:val="2"/>
          <w:sz w:val="21"/>
          <w:szCs w:val="21"/>
          <w:highlight w:val="none"/>
          <w:lang w:val="en-US" w:eastAsia="zh-CN" w:bidi="ar"/>
          <w:woUserID w:val="1"/>
        </w:rPr>
        <w:t>10</w:t>
      </w:r>
      <w:r>
        <w:rPr>
          <w:rFonts w:hint="eastAsia" w:ascii="宋体" w:hAnsi="宋体" w:eastAsia="宋体" w:cs="宋体"/>
          <w:color w:val="000000"/>
          <w:kern w:val="2"/>
          <w:sz w:val="21"/>
          <w:szCs w:val="21"/>
          <w:highlight w:val="none"/>
          <w:lang w:val="en-US" w:eastAsia="zh-CN" w:bidi="ar"/>
          <w:woUserID w:val="1"/>
        </w:rPr>
        <w:t>）采制样装置各设备及其相互之间，有可靠的机械或电气安全联锁措施。关键的驱动装置均装设可靠的制动装置、电动机、减速机。</w:t>
      </w:r>
    </w:p>
    <w:p w14:paraId="0BF22D9E">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Calibri"/>
          <w:color w:val="000000"/>
          <w:kern w:val="2"/>
          <w:sz w:val="21"/>
          <w:szCs w:val="21"/>
          <w:highlight w:val="none"/>
          <w:lang w:val="en-US" w:eastAsia="zh-CN" w:bidi="ar"/>
          <w:woUserID w:val="1"/>
        </w:rPr>
        <w:t>11</w:t>
      </w:r>
      <w:r>
        <w:rPr>
          <w:rFonts w:hint="eastAsia" w:ascii="宋体" w:hAnsi="宋体" w:eastAsia="宋体" w:cs="宋体"/>
          <w:color w:val="000000"/>
          <w:kern w:val="2"/>
          <w:sz w:val="21"/>
          <w:szCs w:val="21"/>
          <w:highlight w:val="none"/>
          <w:lang w:val="en-US" w:eastAsia="zh-CN" w:bidi="ar"/>
          <w:woUserID w:val="1"/>
        </w:rPr>
        <w:t>）设备采用</w:t>
      </w:r>
      <w:r>
        <w:rPr>
          <w:rFonts w:hint="default" w:ascii="Calibri" w:hAnsi="Calibri" w:eastAsia="宋体" w:cs="Times New Roman"/>
          <w:color w:val="000000"/>
          <w:kern w:val="2"/>
          <w:sz w:val="21"/>
          <w:szCs w:val="21"/>
          <w:highlight w:val="none"/>
          <w:lang w:val="en-US" w:eastAsia="zh-CN" w:bidi="ar"/>
          <w:woUserID w:val="1"/>
        </w:rPr>
        <w:t>PLC+PC+</w:t>
      </w:r>
      <w:r>
        <w:rPr>
          <w:rFonts w:hint="eastAsia" w:ascii="宋体" w:hAnsi="宋体" w:eastAsia="宋体" w:cs="宋体"/>
          <w:color w:val="000000"/>
          <w:kern w:val="2"/>
          <w:sz w:val="21"/>
          <w:szCs w:val="21"/>
          <w:highlight w:val="none"/>
          <w:lang w:val="en-US" w:eastAsia="zh-CN" w:bidi="ar"/>
          <w:woUserID w:val="1"/>
        </w:rPr>
        <w:t>变频器控制技术，设备的控制方式为自动、半自动控制和手动控制等方式，遇有紧急情况能迅速切换成手动方式，必要时停止采样，以保证卸煤作业不受影响。就地设有手动操作按钮，供检修及应急情况下使用。就地控制柜应设置远方</w:t>
      </w:r>
      <w:r>
        <w:rPr>
          <w:rFonts w:hint="default" w:ascii="Calibri" w:hAnsi="Calibri" w:eastAsia="宋体" w:cs="Calibri"/>
          <w:color w:val="000000"/>
          <w:kern w:val="2"/>
          <w:sz w:val="21"/>
          <w:szCs w:val="21"/>
          <w:highlight w:val="none"/>
          <w:lang w:val="en-US" w:eastAsia="zh-CN" w:bidi="ar"/>
          <w:woUserID w:val="1"/>
        </w:rPr>
        <w:t>/</w:t>
      </w:r>
      <w:r>
        <w:rPr>
          <w:rFonts w:hint="eastAsia" w:ascii="宋体" w:hAnsi="宋体" w:eastAsia="宋体" w:cs="宋体"/>
          <w:color w:val="000000"/>
          <w:kern w:val="2"/>
          <w:sz w:val="21"/>
          <w:szCs w:val="21"/>
          <w:highlight w:val="none"/>
          <w:lang w:val="en-US" w:eastAsia="zh-CN" w:bidi="ar"/>
          <w:woUserID w:val="1"/>
        </w:rPr>
        <w:t>就地操作切换装置。</w:t>
      </w:r>
    </w:p>
    <w:p w14:paraId="4BCD02D8">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Times New Roman"/>
          <w:color w:val="000000"/>
          <w:kern w:val="2"/>
          <w:sz w:val="21"/>
          <w:szCs w:val="21"/>
          <w:highlight w:val="none"/>
          <w:lang w:val="en-US" w:eastAsia="zh-CN" w:bidi="ar"/>
          <w:woUserID w:val="1"/>
        </w:rPr>
        <w:t>1</w:t>
      </w:r>
      <w:r>
        <w:rPr>
          <w:rFonts w:hint="default" w:ascii="Calibri" w:hAnsi="Calibri" w:eastAsia="宋体" w:cs="Calibri"/>
          <w:color w:val="000000"/>
          <w:kern w:val="2"/>
          <w:sz w:val="21"/>
          <w:szCs w:val="21"/>
          <w:highlight w:val="none"/>
          <w:lang w:val="en-US" w:eastAsia="zh-CN" w:bidi="ar"/>
          <w:woUserID w:val="1"/>
        </w:rPr>
        <w:t>2</w:t>
      </w:r>
      <w:r>
        <w:rPr>
          <w:rFonts w:hint="eastAsia" w:ascii="宋体" w:hAnsi="宋体" w:eastAsia="宋体" w:cs="宋体"/>
          <w:color w:val="000000"/>
          <w:kern w:val="2"/>
          <w:sz w:val="21"/>
          <w:szCs w:val="21"/>
          <w:highlight w:val="none"/>
          <w:lang w:val="en-US" w:eastAsia="zh-CN" w:bidi="ar"/>
          <w:woUserID w:val="1"/>
        </w:rPr>
        <w:t>）系统通过一次编码及分配集样桶、使得集样桶与供煤单位对应，集样桶到达设定的满量后再次自动分配集样桶。封装系统可实现自动封装、标识。</w:t>
      </w:r>
    </w:p>
    <w:p w14:paraId="2F967583">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Times New Roman"/>
          <w:color w:val="000000"/>
          <w:kern w:val="2"/>
          <w:sz w:val="21"/>
          <w:szCs w:val="21"/>
          <w:highlight w:val="none"/>
          <w:lang w:val="en-US" w:eastAsia="zh-CN" w:bidi="ar"/>
          <w:woUserID w:val="1"/>
        </w:rPr>
        <w:t>1</w:t>
      </w:r>
      <w:r>
        <w:rPr>
          <w:rFonts w:hint="default" w:ascii="Calibri" w:hAnsi="Calibri" w:eastAsia="宋体" w:cs="Calibri"/>
          <w:color w:val="000000"/>
          <w:kern w:val="2"/>
          <w:sz w:val="21"/>
          <w:szCs w:val="21"/>
          <w:highlight w:val="none"/>
          <w:lang w:val="en-US" w:eastAsia="zh-CN" w:bidi="ar"/>
          <w:woUserID w:val="1"/>
        </w:rPr>
        <w:t>3</w:t>
      </w:r>
      <w:r>
        <w:rPr>
          <w:rFonts w:hint="eastAsia" w:ascii="宋体" w:hAnsi="宋体" w:eastAsia="宋体" w:cs="宋体"/>
          <w:color w:val="000000"/>
          <w:kern w:val="2"/>
          <w:sz w:val="21"/>
          <w:szCs w:val="21"/>
          <w:highlight w:val="none"/>
          <w:lang w:val="en-US" w:eastAsia="zh-CN" w:bidi="ar"/>
          <w:woUserID w:val="1"/>
        </w:rPr>
        <w:t>）系统需全程记录每天的供煤单位、随机分配的一次编码、机采集样桶号的对应关系，即：供煤单位名称、一次编码分配情况及时间、每次机采时间、采样方案、每个子样入哪个集样桶、每个子样的质量，系统提示分区合样，并在屏蔽供应商的情况下给出综合样加密编码。</w:t>
      </w:r>
    </w:p>
    <w:p w14:paraId="04752A28">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highlight w:val="none"/>
          <w:lang w:val="en-US" w:eastAsia="zh" w:bidi="ar"/>
          <w:woUserID w:val="1"/>
        </w:rPr>
      </w:pPr>
      <w:r>
        <w:rPr>
          <w:rFonts w:hint="eastAsia" w:ascii="Calibri" w:hAnsi="Calibri" w:eastAsia="宋体" w:cs="Times New Roman"/>
          <w:color w:val="000000"/>
          <w:kern w:val="2"/>
          <w:sz w:val="21"/>
          <w:szCs w:val="21"/>
          <w:highlight w:val="none"/>
          <w:lang w:val="en-US" w:eastAsia="zh-CN" w:bidi="ar"/>
          <w:woUserID w:val="1"/>
        </w:rPr>
        <w:t xml:space="preserve"> </w:t>
      </w:r>
      <w:r>
        <w:rPr>
          <w:rFonts w:hint="eastAsia" w:ascii="Calibri" w:hAnsi="Calibri" w:eastAsia="宋体" w:cs="Times New Roman"/>
          <w:color w:val="000000"/>
          <w:kern w:val="2"/>
          <w:sz w:val="21"/>
          <w:szCs w:val="21"/>
          <w:highlight w:val="none"/>
          <w:lang w:val="en-US" w:eastAsia="zh" w:bidi="ar"/>
          <w:woUserID w:val="1"/>
        </w:rPr>
        <w:t>14）汽车衡计量系统改造应充分考虑与现有称重管理系统对接，保证原系统功能正常使用。</w:t>
      </w:r>
    </w:p>
    <w:p w14:paraId="0873D889">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1"/>
          <w:szCs w:val="21"/>
          <w:highlight w:val="none"/>
          <w:woUserID w:val="1"/>
        </w:rPr>
      </w:pPr>
      <w:r>
        <w:rPr>
          <w:rFonts w:hint="eastAsia" w:ascii="宋体" w:hAnsi="宋体" w:eastAsia="宋体" w:cs="宋体"/>
          <w:b/>
          <w:bCs/>
          <w:kern w:val="2"/>
          <w:sz w:val="21"/>
          <w:szCs w:val="21"/>
          <w:highlight w:val="none"/>
          <w:woUserID w:val="1"/>
        </w:rPr>
        <w:t>5.1.2.具体技术要求</w:t>
      </w:r>
    </w:p>
    <w:p w14:paraId="62BD6316">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w:t>
      </w:r>
      <w:r>
        <w:rPr>
          <w:rFonts w:hint="default" w:ascii="Times New Roman" w:hAnsi="Times New Roman" w:eastAsia="宋体" w:cs="Times New Roman"/>
          <w:b/>
          <w:bCs/>
          <w:kern w:val="2"/>
          <w:sz w:val="21"/>
          <w:szCs w:val="21"/>
          <w:highlight w:val="none"/>
          <w:lang w:val="en-US" w:eastAsia="zh-CN" w:bidi="ar"/>
          <w:woUserID w:val="1"/>
        </w:rPr>
        <w:t>1</w:t>
      </w:r>
      <w:r>
        <w:rPr>
          <w:rFonts w:hint="eastAsia" w:ascii="宋体" w:hAnsi="宋体" w:eastAsia="宋体" w:cs="宋体"/>
          <w:b/>
          <w:bCs/>
          <w:kern w:val="2"/>
          <w:sz w:val="21"/>
          <w:szCs w:val="21"/>
          <w:highlight w:val="none"/>
          <w:lang w:val="en-US" w:eastAsia="zh-CN" w:bidi="ar"/>
          <w:woUserID w:val="1"/>
        </w:rPr>
        <w:t>）大车行走机构</w:t>
      </w:r>
    </w:p>
    <w:p w14:paraId="65AF5957">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大车为桥式结构，采用双电机驱动启动及停止采用变频控制技术，并配置机械测距装置，启动、停止平稳，制动可靠，能保证在最大工作风速时的逆向运行性能，大车两端安装有终端限位和聚氯酯缓冲器。电气和机械保护满足设备安全运行的需要。供电方式采用电缆滑车，电缆滑车考虑粉尘工作环境的工况。大车行走最大速度</w:t>
      </w:r>
      <w:r>
        <w:rPr>
          <w:rFonts w:hint="default" w:ascii="Calibri" w:hAnsi="Calibri" w:eastAsia="宋体" w:cs="Calibri"/>
          <w:kern w:val="2"/>
          <w:sz w:val="21"/>
          <w:szCs w:val="21"/>
          <w:highlight w:val="none"/>
          <w:lang w:val="en-US" w:eastAsia="zh-CN" w:bidi="ar"/>
          <w:woUserID w:val="1"/>
        </w:rPr>
        <w:t>30m/min</w:t>
      </w:r>
      <w:r>
        <w:rPr>
          <w:rFonts w:hint="eastAsia" w:ascii="宋体" w:hAnsi="宋体" w:eastAsia="宋体" w:cs="宋体"/>
          <w:kern w:val="2"/>
          <w:sz w:val="21"/>
          <w:szCs w:val="21"/>
          <w:highlight w:val="none"/>
          <w:lang w:val="en-US" w:eastAsia="zh-CN" w:bidi="ar"/>
          <w:woUserID w:val="1"/>
        </w:rPr>
        <w:t>，能实现变频调节，电机功率</w:t>
      </w:r>
      <w:r>
        <w:rPr>
          <w:rFonts w:hint="default" w:ascii="Calibri" w:hAnsi="Calibri" w:eastAsia="宋体" w:cs="Calibri"/>
          <w:kern w:val="2"/>
          <w:sz w:val="21"/>
          <w:szCs w:val="21"/>
          <w:highlight w:val="none"/>
          <w:lang w:val="en-US" w:eastAsia="zh-CN" w:bidi="ar"/>
          <w:woUserID w:val="1"/>
        </w:rPr>
        <w:t>2</w:t>
      </w:r>
      <w:r>
        <w:rPr>
          <w:rFonts w:hint="eastAsia" w:ascii="宋体" w:hAnsi="宋体" w:eastAsia="宋体" w:cs="宋体"/>
          <w:kern w:val="2"/>
          <w:sz w:val="21"/>
          <w:szCs w:val="21"/>
          <w:highlight w:val="none"/>
          <w:lang w:val="en-US" w:eastAsia="zh-CN" w:bidi="ar"/>
          <w:woUserID w:val="1"/>
        </w:rPr>
        <w:t>×</w:t>
      </w:r>
      <w:r>
        <w:rPr>
          <w:rFonts w:hint="default" w:ascii="Calibri" w:hAnsi="Calibri" w:eastAsia="宋体" w:cs="Calibri"/>
          <w:kern w:val="2"/>
          <w:sz w:val="21"/>
          <w:szCs w:val="21"/>
          <w:highlight w:val="none"/>
          <w:lang w:val="en-US" w:eastAsia="zh-CN" w:bidi="ar"/>
          <w:woUserID w:val="1"/>
        </w:rPr>
        <w:t>2.2kw</w:t>
      </w:r>
      <w:r>
        <w:rPr>
          <w:rFonts w:hint="eastAsia" w:ascii="宋体" w:hAnsi="宋体" w:eastAsia="宋体" w:cs="宋体"/>
          <w:kern w:val="2"/>
          <w:sz w:val="21"/>
          <w:szCs w:val="21"/>
          <w:highlight w:val="none"/>
          <w:lang w:val="en-US" w:eastAsia="zh-CN" w:bidi="ar"/>
          <w:woUserID w:val="1"/>
        </w:rPr>
        <w:t>，大车行走机构双侧设置走台，便于检修。</w:t>
      </w:r>
    </w:p>
    <w:p w14:paraId="299CF233">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w:t>
      </w:r>
      <w:r>
        <w:rPr>
          <w:rFonts w:hint="default" w:ascii="Times New Roman" w:hAnsi="Times New Roman" w:eastAsia="宋体" w:cs="Times New Roman"/>
          <w:b/>
          <w:bCs/>
          <w:kern w:val="2"/>
          <w:sz w:val="21"/>
          <w:szCs w:val="21"/>
          <w:highlight w:val="none"/>
          <w:lang w:val="en-US" w:eastAsia="zh-CN" w:bidi="ar"/>
          <w:woUserID w:val="1"/>
        </w:rPr>
        <w:t>2</w:t>
      </w:r>
      <w:r>
        <w:rPr>
          <w:rFonts w:hint="eastAsia" w:ascii="宋体" w:hAnsi="宋体" w:eastAsia="宋体" w:cs="宋体"/>
          <w:b/>
          <w:bCs/>
          <w:kern w:val="2"/>
          <w:sz w:val="21"/>
          <w:szCs w:val="21"/>
          <w:highlight w:val="none"/>
          <w:lang w:val="en-US" w:eastAsia="zh-CN" w:bidi="ar"/>
          <w:woUserID w:val="1"/>
        </w:rPr>
        <w:t>）小车行走机构</w:t>
      </w:r>
    </w:p>
    <w:p w14:paraId="656CFE9F">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小车采用双电机驱动，且采用变频控制技术，启动、停止平稳，能保证在最大工作风速时的逆向运行性能。小车两端装有终端限位和聚氯酯缓冲器。最大行走速度</w:t>
      </w:r>
      <w:r>
        <w:rPr>
          <w:rFonts w:hint="default" w:ascii="Calibri" w:hAnsi="Calibri" w:eastAsia="宋体" w:cs="Calibri"/>
          <w:kern w:val="2"/>
          <w:sz w:val="21"/>
          <w:szCs w:val="21"/>
          <w:highlight w:val="none"/>
          <w:lang w:val="en-US" w:eastAsia="zh-CN" w:bidi="ar"/>
          <w:woUserID w:val="1"/>
        </w:rPr>
        <w:t>20m/min</w:t>
      </w:r>
      <w:r>
        <w:rPr>
          <w:rFonts w:hint="eastAsia" w:ascii="宋体" w:hAnsi="宋体" w:eastAsia="宋体" w:cs="宋体"/>
          <w:kern w:val="2"/>
          <w:sz w:val="21"/>
          <w:szCs w:val="21"/>
          <w:highlight w:val="none"/>
          <w:lang w:val="en-US" w:eastAsia="zh-CN" w:bidi="ar"/>
          <w:woUserID w:val="1"/>
        </w:rPr>
        <w:t>，速度实现变频调节，电机功率</w:t>
      </w:r>
      <w:r>
        <w:rPr>
          <w:rFonts w:hint="default" w:ascii="Calibri" w:hAnsi="Calibri" w:eastAsia="宋体" w:cs="Calibri"/>
          <w:kern w:val="2"/>
          <w:sz w:val="21"/>
          <w:szCs w:val="21"/>
          <w:highlight w:val="none"/>
          <w:lang w:val="en-US" w:eastAsia="zh-CN" w:bidi="ar"/>
          <w:woUserID w:val="1"/>
        </w:rPr>
        <w:t>2</w:t>
      </w:r>
      <w:r>
        <w:rPr>
          <w:rFonts w:hint="eastAsia" w:ascii="宋体" w:hAnsi="宋体" w:eastAsia="宋体" w:cs="宋体"/>
          <w:kern w:val="2"/>
          <w:sz w:val="21"/>
          <w:szCs w:val="21"/>
          <w:highlight w:val="none"/>
          <w:lang w:val="en-US" w:eastAsia="zh-CN" w:bidi="ar"/>
          <w:woUserID w:val="1"/>
        </w:rPr>
        <w:t>×</w:t>
      </w:r>
      <w:r>
        <w:rPr>
          <w:rFonts w:hint="default" w:ascii="Calibri" w:hAnsi="Calibri" w:eastAsia="宋体" w:cs="Calibri"/>
          <w:kern w:val="2"/>
          <w:sz w:val="21"/>
          <w:szCs w:val="21"/>
          <w:highlight w:val="none"/>
          <w:lang w:val="en-US" w:eastAsia="zh-CN" w:bidi="ar"/>
          <w:woUserID w:val="1"/>
        </w:rPr>
        <w:t>1.5kw</w:t>
      </w:r>
      <w:r>
        <w:rPr>
          <w:rFonts w:hint="eastAsia" w:ascii="宋体" w:hAnsi="宋体" w:eastAsia="宋体" w:cs="宋体"/>
          <w:kern w:val="2"/>
          <w:sz w:val="21"/>
          <w:szCs w:val="21"/>
          <w:highlight w:val="none"/>
          <w:lang w:val="en-US" w:eastAsia="zh-CN" w:bidi="ar"/>
          <w:woUserID w:val="1"/>
        </w:rPr>
        <w:t>。</w:t>
      </w:r>
    </w:p>
    <w:p w14:paraId="1BBEAF57">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Times New Roman" w:hAnsi="Times New Roman" w:eastAsia="宋体" w:cs="Times New Roman"/>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w:t>
      </w:r>
      <w:r>
        <w:rPr>
          <w:rFonts w:hint="default" w:ascii="Times New Roman" w:hAnsi="Times New Roman" w:eastAsia="宋体" w:cs="Times New Roman"/>
          <w:b/>
          <w:bCs/>
          <w:kern w:val="2"/>
          <w:sz w:val="21"/>
          <w:szCs w:val="21"/>
          <w:highlight w:val="none"/>
          <w:lang w:val="en-US" w:eastAsia="zh-CN" w:bidi="ar"/>
          <w:woUserID w:val="1"/>
        </w:rPr>
        <w:t>3</w:t>
      </w:r>
      <w:r>
        <w:rPr>
          <w:rFonts w:hint="eastAsia" w:ascii="宋体" w:hAnsi="宋体" w:eastAsia="宋体" w:cs="宋体"/>
          <w:b/>
          <w:bCs/>
          <w:kern w:val="2"/>
          <w:sz w:val="21"/>
          <w:szCs w:val="21"/>
          <w:highlight w:val="none"/>
          <w:lang w:val="en-US" w:eastAsia="zh-CN" w:bidi="ar"/>
          <w:woUserID w:val="1"/>
        </w:rPr>
        <w:t>）链升降长螺旋采样机</w:t>
      </w:r>
    </w:p>
    <w:p w14:paraId="7F17513A">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Times New Roman" w:hAnsi="Times New Roman" w:eastAsia="宋体" w:cs="Times New Roman"/>
          <w:kern w:val="2"/>
          <w:sz w:val="21"/>
          <w:szCs w:val="21"/>
          <w:woUserID w:val="1"/>
        </w:rPr>
      </w:pPr>
      <w:r>
        <w:rPr>
          <w:rFonts w:hint="eastAsia" w:ascii="宋体" w:hAnsi="宋体" w:eastAsia="宋体" w:cs="宋体"/>
          <w:kern w:val="2"/>
          <w:sz w:val="21"/>
          <w:szCs w:val="21"/>
          <w:lang w:val="en-US" w:eastAsia="zh-CN" w:bidi="ar"/>
          <w:woUserID w:val="1"/>
        </w:rPr>
        <w:t>长螺旋采样机是利用升降电机带动链轮链条实现上下进给，旋转电机带动螺旋叶片高速旋转使物料上升，最终实现对螺旋采样头范围内的整个全断面的煤样进行采取。该采样机满足</w:t>
      </w:r>
      <w:r>
        <w:rPr>
          <w:rFonts w:hint="default" w:ascii="Times New Roman" w:hAnsi="Times New Roman" w:eastAsia="宋体" w:cs="Times New Roman"/>
          <w:kern w:val="2"/>
          <w:sz w:val="21"/>
          <w:szCs w:val="21"/>
          <w:lang w:val="en-US" w:eastAsia="zh-CN" w:bidi="ar"/>
          <w:woUserID w:val="1"/>
        </w:rPr>
        <w:t>GB/T19492.1</w:t>
      </w:r>
      <w:r>
        <w:rPr>
          <w:rFonts w:hint="eastAsia" w:ascii="宋体" w:hAnsi="宋体" w:eastAsia="宋体" w:cs="宋体"/>
          <w:kern w:val="2"/>
          <w:sz w:val="21"/>
          <w:szCs w:val="21"/>
          <w:lang w:val="en-US" w:eastAsia="zh-CN" w:bidi="ar"/>
          <w:woUserID w:val="1"/>
        </w:rPr>
        <w:t>《煤碳机械采样方法》，并通过</w:t>
      </w:r>
      <w:r>
        <w:rPr>
          <w:rFonts w:hint="default" w:ascii="Times New Roman" w:hAnsi="Times New Roman" w:eastAsia="宋体" w:cs="Times New Roman"/>
          <w:kern w:val="2"/>
          <w:sz w:val="21"/>
          <w:szCs w:val="21"/>
          <w:lang w:val="en-US" w:eastAsia="zh-CN" w:bidi="ar"/>
          <w:woUserID w:val="1"/>
        </w:rPr>
        <w:t>PLC</w:t>
      </w:r>
      <w:r>
        <w:rPr>
          <w:rFonts w:hint="eastAsia" w:ascii="宋体" w:hAnsi="宋体" w:eastAsia="宋体" w:cs="宋体"/>
          <w:kern w:val="2"/>
          <w:sz w:val="21"/>
          <w:szCs w:val="21"/>
          <w:lang w:val="en-US" w:eastAsia="zh-CN" w:bidi="ar"/>
          <w:woUserID w:val="1"/>
        </w:rPr>
        <w:t>可编程控制器和上位机实现程序控制，实现自动、手动、半自动等多元化的操作模式。</w:t>
      </w:r>
    </w:p>
    <w:p w14:paraId="2332F9FA">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Times New Roman" w:hAnsi="Times New Roman" w:eastAsia="宋体" w:cs="Times New Roman"/>
          <w:kern w:val="2"/>
          <w:sz w:val="21"/>
          <w:szCs w:val="21"/>
          <w:woUserID w:val="1"/>
        </w:rPr>
      </w:pPr>
      <w:r>
        <w:rPr>
          <w:rFonts w:hint="eastAsia" w:ascii="宋体" w:hAnsi="宋体" w:eastAsia="宋体" w:cs="宋体"/>
          <w:kern w:val="2"/>
          <w:sz w:val="21"/>
          <w:szCs w:val="21"/>
          <w:lang w:val="en-US" w:eastAsia="zh-CN" w:bidi="ar"/>
          <w:woUserID w:val="1"/>
        </w:rPr>
        <w:t>采样头直径不小于φ</w:t>
      </w:r>
      <w:r>
        <w:rPr>
          <w:rFonts w:hint="default" w:ascii="Times New Roman" w:hAnsi="Times New Roman" w:eastAsia="宋体" w:cs="Times New Roman"/>
          <w:kern w:val="2"/>
          <w:sz w:val="21"/>
          <w:szCs w:val="21"/>
          <w:lang w:val="en-US" w:eastAsia="zh-CN" w:bidi="ar"/>
          <w:woUserID w:val="1"/>
        </w:rPr>
        <w:t>273mm</w:t>
      </w:r>
      <w:r>
        <w:rPr>
          <w:rFonts w:hint="eastAsia" w:ascii="宋体" w:hAnsi="宋体" w:eastAsia="宋体" w:cs="宋体"/>
          <w:kern w:val="2"/>
          <w:sz w:val="21"/>
          <w:szCs w:val="21"/>
          <w:lang w:val="en-US" w:eastAsia="zh-CN" w:bidi="ar"/>
          <w:woUserID w:val="1"/>
        </w:rPr>
        <w:t>。</w:t>
      </w:r>
    </w:p>
    <w:p w14:paraId="5BA6DE67">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Times New Roman" w:hAnsi="Times New Roman" w:eastAsia="宋体" w:cs="Times New Roman"/>
          <w:kern w:val="2"/>
          <w:sz w:val="21"/>
          <w:szCs w:val="21"/>
          <w:woUserID w:val="1"/>
        </w:rPr>
      </w:pPr>
      <w:r>
        <w:rPr>
          <w:rFonts w:hint="eastAsia" w:ascii="宋体" w:hAnsi="宋体" w:eastAsia="宋体" w:cs="宋体"/>
          <w:kern w:val="2"/>
          <w:sz w:val="21"/>
          <w:szCs w:val="21"/>
          <w:lang w:val="en-US" w:eastAsia="zh-CN" w:bidi="ar"/>
          <w:woUserID w:val="1"/>
        </w:rPr>
        <w:t>采样头可实现边采边缩分，缩分比</w:t>
      </w:r>
      <w:r>
        <w:rPr>
          <w:rFonts w:hint="default" w:ascii="Times New Roman" w:hAnsi="Times New Roman" w:eastAsia="宋体" w:cs="Times New Roman"/>
          <w:kern w:val="2"/>
          <w:sz w:val="21"/>
          <w:szCs w:val="21"/>
          <w:lang w:val="en-US" w:eastAsia="zh-CN" w:bidi="ar"/>
          <w:woUserID w:val="1"/>
        </w:rPr>
        <w:t>1/5</w:t>
      </w:r>
      <w:r>
        <w:rPr>
          <w:rFonts w:hint="eastAsia" w:ascii="宋体" w:hAnsi="宋体" w:eastAsia="宋体" w:cs="宋体"/>
          <w:kern w:val="2"/>
          <w:sz w:val="21"/>
          <w:szCs w:val="21"/>
          <w:lang w:val="en-US" w:eastAsia="zh-CN" w:bidi="ar"/>
          <w:woUserID w:val="1"/>
        </w:rPr>
        <w:t>。</w:t>
      </w:r>
    </w:p>
    <w:p w14:paraId="039E72DC">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Times New Roman" w:hAnsi="Times New Roman" w:eastAsia="宋体" w:cs="Times New Roman"/>
          <w:kern w:val="2"/>
          <w:sz w:val="21"/>
          <w:szCs w:val="21"/>
          <w:woUserID w:val="1"/>
        </w:rPr>
      </w:pPr>
      <w:r>
        <w:rPr>
          <w:rFonts w:hint="eastAsia" w:ascii="宋体" w:hAnsi="宋体" w:eastAsia="宋体" w:cs="宋体"/>
          <w:kern w:val="2"/>
          <w:sz w:val="21"/>
          <w:szCs w:val="21"/>
          <w:lang w:val="en-US" w:eastAsia="zh-CN" w:bidi="ar"/>
          <w:woUserID w:val="1"/>
        </w:rPr>
        <w:t>升降机构由升降装置及导向装置组成。升降装置采用成熟可靠的双链式升降，并配有升降平衡配种块，确保采样器在升降过程中的工作稳定性；导向装置采用滚动摩擦的工作方式，机件磨损量极小，易于安装拆换，润滑要求低，灵活而耐用。根据计算机发出的指令，升降装置能将采样器沿运输车厢深度方向运动，到达随机采样点的深度坐标位置，完成车厢内的取样工作。减速机为避免刹车失灵采用蜗轮蜗杆带自锁传动方式。</w:t>
      </w:r>
    </w:p>
    <w:p w14:paraId="3D6FB9A2">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Times New Roman" w:hAnsi="Times New Roman" w:eastAsia="宋体" w:cs="Times New Roman"/>
          <w:kern w:val="2"/>
          <w:sz w:val="21"/>
          <w:szCs w:val="21"/>
          <w:woUserID w:val="1"/>
        </w:rPr>
      </w:pPr>
      <w:r>
        <w:rPr>
          <w:rFonts w:hint="eastAsia" w:ascii="Times New Roman" w:hAnsi="Times New Roman" w:eastAsia="宋体" w:cs="Times New Roman"/>
          <w:kern w:val="2"/>
          <w:sz w:val="21"/>
          <w:szCs w:val="21"/>
          <w:lang w:val="en-US" w:eastAsia="zh-CN" w:bidi="ar"/>
          <w:woUserID w:val="1"/>
        </w:rPr>
        <w:t xml:space="preserve"> </w:t>
      </w:r>
    </w:p>
    <w:p w14:paraId="6850EA79">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4</w:t>
      </w:r>
      <w:r>
        <w:rPr>
          <w:rFonts w:hint="eastAsia" w:ascii="宋体" w:hAnsi="宋体" w:eastAsia="宋体" w:cs="宋体"/>
          <w:b/>
          <w:bCs/>
          <w:kern w:val="2"/>
          <w:sz w:val="21"/>
          <w:szCs w:val="21"/>
          <w:lang w:val="en-US" w:eastAsia="zh-CN" w:bidi="ar"/>
          <w:woUserID w:val="1"/>
        </w:rPr>
        <w:t>）除铁给料皮带机</w:t>
      </w:r>
    </w:p>
    <w:p w14:paraId="58CEE6A0">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除铁给料皮带机采用防尘电机及配套减速机驱动，皮带设有松紧调节装置和弹性聚氨酯刮板装置、整流装置，皮带输送面两侧有特殊角度的倾斜挡边设计，皮带底部设计有独立电机驱动全密封式链刮板清扫装置，可以将皮带内部集聚的扬尘以及少量泄露的煤粉刮扫出来；皮带头部设计有专业除铁的永磁铁，能有效的去除原料样品中铁钉、钢丝等金属杂质。该皮带机需具有输送速度快，密封性能好，无粉尘飞扬和样料遗漏、皮带无粘附、给料均匀等优点，有效的保证原料样品的采制样质量，确保制样设备的安全工作。</w:t>
      </w:r>
    </w:p>
    <w:p w14:paraId="17D52D8D">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5</w:t>
      </w:r>
      <w:r>
        <w:rPr>
          <w:rFonts w:hint="eastAsia" w:ascii="宋体" w:hAnsi="宋体" w:eastAsia="宋体" w:cs="宋体"/>
          <w:b/>
          <w:bCs/>
          <w:kern w:val="2"/>
          <w:sz w:val="21"/>
          <w:szCs w:val="21"/>
          <w:lang w:val="en-US" w:eastAsia="zh-CN" w:bidi="ar"/>
          <w:woUserID w:val="1"/>
        </w:rPr>
        <w:t>）环锤破碎机</w:t>
      </w:r>
    </w:p>
    <w:p w14:paraId="2760BBE2">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破碎机为卧式环锤结构，破碎机出料腔底部设置筛板，破碎系统进料口采用密封式设计，防止粉尘的飞扬，可获得小于</w:t>
      </w:r>
      <w:r>
        <w:rPr>
          <w:rFonts w:hint="default" w:ascii="Calibri" w:hAnsi="Calibri" w:eastAsia="宋体" w:cs="Calibri"/>
          <w:kern w:val="2"/>
          <w:sz w:val="21"/>
          <w:szCs w:val="21"/>
          <w:lang w:val="en-US" w:eastAsia="zh-CN" w:bidi="ar"/>
          <w:woUserID w:val="1"/>
        </w:rPr>
        <w:t>13mm</w:t>
      </w:r>
      <w:r>
        <w:rPr>
          <w:rFonts w:hint="eastAsia" w:ascii="宋体" w:hAnsi="宋体" w:eastAsia="宋体" w:cs="宋体"/>
          <w:kern w:val="2"/>
          <w:sz w:val="21"/>
          <w:szCs w:val="21"/>
          <w:lang w:val="en-US" w:eastAsia="zh-CN" w:bidi="ar"/>
          <w:woUserID w:val="1"/>
        </w:rPr>
        <w:t>的出料粒度。破碎机应能满足</w:t>
      </w:r>
      <w:r>
        <w:rPr>
          <w:rFonts w:hint="default" w:ascii="Calibri" w:hAnsi="Calibri" w:eastAsia="宋体" w:cs="Calibri"/>
          <w:kern w:val="2"/>
          <w:sz w:val="21"/>
          <w:szCs w:val="21"/>
          <w:lang w:val="en-US" w:eastAsia="zh-CN" w:bidi="ar"/>
          <w:woUserID w:val="1"/>
        </w:rPr>
        <w:t>24</w:t>
      </w:r>
      <w:r>
        <w:rPr>
          <w:rFonts w:hint="eastAsia" w:ascii="宋体" w:hAnsi="宋体" w:eastAsia="宋体" w:cs="宋体"/>
          <w:kern w:val="2"/>
          <w:sz w:val="21"/>
          <w:szCs w:val="21"/>
          <w:lang w:val="en-US" w:eastAsia="zh-CN" w:bidi="ar"/>
          <w:woUserID w:val="1"/>
        </w:rPr>
        <w:t>小时不间断长周期连续运行的性能要求。能满足全深度</w:t>
      </w:r>
      <w:r>
        <w:rPr>
          <w:rFonts w:hint="default" w:ascii="Calibri" w:hAnsi="Calibri" w:eastAsia="宋体" w:cs="Calibri"/>
          <w:kern w:val="2"/>
          <w:sz w:val="21"/>
          <w:szCs w:val="21"/>
          <w:lang w:val="en-US" w:eastAsia="zh-CN" w:bidi="ar"/>
          <w:woUserID w:val="1"/>
        </w:rPr>
        <w:t>3</w:t>
      </w:r>
      <w:r>
        <w:rPr>
          <w:rFonts w:hint="eastAsia" w:ascii="宋体" w:hAnsi="宋体" w:eastAsia="宋体" w:cs="宋体"/>
          <w:kern w:val="2"/>
          <w:sz w:val="21"/>
          <w:szCs w:val="21"/>
          <w:lang w:val="en-US" w:eastAsia="zh-CN" w:bidi="ar"/>
          <w:woUserID w:val="1"/>
        </w:rPr>
        <w:t>点采样量破碎的要求，具有过载等自动保护功能。破碎系统的结构特点与参数说明：</w:t>
      </w:r>
    </w:p>
    <w:p w14:paraId="581CDC06">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破碎机破碎后的煤样粒度为≤</w:t>
      </w:r>
      <w:r>
        <w:rPr>
          <w:rFonts w:hint="default" w:ascii="Calibri" w:hAnsi="Calibri" w:eastAsia="宋体" w:cs="Calibri"/>
          <w:kern w:val="2"/>
          <w:sz w:val="21"/>
          <w:szCs w:val="21"/>
          <w:lang w:val="en-US" w:eastAsia="zh-CN" w:bidi="ar"/>
          <w:woUserID w:val="1"/>
        </w:rPr>
        <w:t>13mm</w:t>
      </w:r>
      <w:r>
        <w:rPr>
          <w:rFonts w:hint="eastAsia" w:ascii="宋体" w:hAnsi="宋体" w:eastAsia="宋体" w:cs="宋体"/>
          <w:kern w:val="2"/>
          <w:sz w:val="21"/>
          <w:szCs w:val="21"/>
          <w:lang w:val="en-US" w:eastAsia="zh-CN" w:bidi="ar"/>
          <w:woUserID w:val="1"/>
        </w:rPr>
        <w:t>，过筛率不低于</w:t>
      </w:r>
      <w:r>
        <w:rPr>
          <w:rFonts w:hint="default" w:ascii="Calibri" w:hAnsi="Calibri" w:eastAsia="宋体" w:cs="Calibri"/>
          <w:kern w:val="2"/>
          <w:sz w:val="21"/>
          <w:szCs w:val="21"/>
          <w:lang w:val="en-US" w:eastAsia="zh-CN" w:bidi="ar"/>
          <w:woUserID w:val="1"/>
        </w:rPr>
        <w:t>95%</w:t>
      </w:r>
      <w:r>
        <w:rPr>
          <w:rFonts w:hint="eastAsia" w:ascii="宋体" w:hAnsi="宋体" w:eastAsia="宋体" w:cs="宋体"/>
          <w:kern w:val="2"/>
          <w:sz w:val="21"/>
          <w:szCs w:val="21"/>
          <w:lang w:val="en-US" w:eastAsia="zh-CN" w:bidi="ar"/>
          <w:woUserID w:val="1"/>
        </w:rPr>
        <w:t>。</w:t>
      </w:r>
    </w:p>
    <w:p w14:paraId="23054833">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破碎机内不发生“饼煤”及粘附现象（无烟煤、贫瘦煤全水分≤</w:t>
      </w:r>
      <w:r>
        <w:rPr>
          <w:rFonts w:hint="default" w:ascii="Calibri" w:hAnsi="Calibri" w:eastAsia="宋体" w:cs="Calibri"/>
          <w:kern w:val="2"/>
          <w:sz w:val="21"/>
          <w:szCs w:val="21"/>
          <w:lang w:val="en-US" w:eastAsia="zh-CN" w:bidi="ar"/>
          <w:woUserID w:val="1"/>
        </w:rPr>
        <w:t>18%</w:t>
      </w:r>
      <w:r>
        <w:rPr>
          <w:rFonts w:hint="eastAsia" w:ascii="宋体" w:hAnsi="宋体" w:eastAsia="宋体" w:cs="宋体"/>
          <w:kern w:val="2"/>
          <w:sz w:val="21"/>
          <w:szCs w:val="21"/>
          <w:lang w:val="en-US" w:eastAsia="zh-CN" w:bidi="ar"/>
          <w:woUserID w:val="1"/>
        </w:rPr>
        <w:t>）。</w:t>
      </w:r>
    </w:p>
    <w:p w14:paraId="2105EFD2">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破碎板和锤头等的使用寿命在</w:t>
      </w:r>
      <w:r>
        <w:rPr>
          <w:rFonts w:hint="default" w:ascii="Calibri" w:hAnsi="Calibri" w:eastAsia="宋体" w:cs="Calibri"/>
          <w:kern w:val="2"/>
          <w:sz w:val="21"/>
          <w:szCs w:val="21"/>
          <w:lang w:val="en-US" w:eastAsia="zh-CN" w:bidi="ar"/>
          <w:woUserID w:val="1"/>
        </w:rPr>
        <w:t>8000</w:t>
      </w:r>
      <w:r>
        <w:rPr>
          <w:rFonts w:hint="eastAsia" w:ascii="宋体" w:hAnsi="宋体" w:eastAsia="宋体" w:cs="宋体"/>
          <w:kern w:val="2"/>
          <w:sz w:val="21"/>
          <w:szCs w:val="21"/>
          <w:lang w:val="en-US" w:eastAsia="zh-CN" w:bidi="ar"/>
          <w:woUserID w:val="1"/>
        </w:rPr>
        <w:t>小时以上。</w:t>
      </w:r>
    </w:p>
    <w:p w14:paraId="261288A4">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机设计合理，使用时应不易发生堵煤现象，关键部位应设置检查门，当水分较大，产生堵煤时，能够方便地进行处理。为了保证系统能正常工作及由于大块不易破碎的物料进入破碎机而造成设备的损坏，破碎机设置可靠的电气、机械双重保护，以保证设备及人员的安全。</w:t>
      </w:r>
    </w:p>
    <w:p w14:paraId="561674C6">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破碎机在破碎壁板上设有自动清装置，能定期自动对碎煤板上遗留物料进行清理。</w:t>
      </w:r>
    </w:p>
    <w:p w14:paraId="7BA05CAC">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6</w:t>
      </w:r>
      <w:r>
        <w:rPr>
          <w:rFonts w:hint="eastAsia" w:ascii="宋体" w:hAnsi="宋体" w:eastAsia="宋体" w:cs="宋体"/>
          <w:b/>
          <w:bCs/>
          <w:kern w:val="2"/>
          <w:sz w:val="21"/>
          <w:szCs w:val="21"/>
          <w:lang w:val="en-US" w:eastAsia="zh-CN" w:bidi="ar"/>
          <w:woUserID w:val="1"/>
        </w:rPr>
        <w:t>）弃料缩分皮带</w:t>
      </w:r>
    </w:p>
    <w:p w14:paraId="3659B551">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弃料缩分皮带机采用防尘电机及配套减速机驱动，皮带设有松紧调节装置和刮板装置、整流装置，皮带采用圆弧形截面皮带，并具有特殊角度的倾斜挡边设计，皮带底部设计有独立电机驱动全密封式链刮板清扫装置，可以将皮带内部集聚的扬尘以及少量泄露的煤粉刮扫出来，该装置具有输送速度快，密封性能好，无粉尘飞扬和样料遗漏、皮带无粘附、给料均匀等优点，有效的保证原料样品的采制样质量。皮带机和缩分器进行一体化设计，缩分器切割弧度和皮带弧度一致，确保全断面缩分留样。</w:t>
      </w:r>
    </w:p>
    <w:p w14:paraId="37F1B661">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7</w:t>
      </w:r>
      <w:r>
        <w:rPr>
          <w:rFonts w:hint="eastAsia" w:ascii="宋体" w:hAnsi="宋体" w:eastAsia="宋体" w:cs="宋体"/>
          <w:b/>
          <w:bCs/>
          <w:kern w:val="2"/>
          <w:sz w:val="21"/>
          <w:szCs w:val="21"/>
          <w:lang w:val="en-US" w:eastAsia="zh-CN" w:bidi="ar"/>
          <w:woUserID w:val="1"/>
        </w:rPr>
        <w:t>）缩分器</w:t>
      </w:r>
    </w:p>
    <w:p w14:paraId="11A6CD5E">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缩分器采用皮带刮扫式缩分，缩分器开口宽度不小于被缩分煤样标称最大粒度的</w:t>
      </w:r>
      <w:r>
        <w:rPr>
          <w:rFonts w:hint="default" w:ascii="Calibri" w:hAnsi="Calibri" w:eastAsia="宋体" w:cs="Calibri"/>
          <w:kern w:val="2"/>
          <w:sz w:val="21"/>
          <w:szCs w:val="21"/>
          <w:lang w:val="en-US" w:eastAsia="zh-CN" w:bidi="ar"/>
          <w:woUserID w:val="1"/>
        </w:rPr>
        <w:t>3</w:t>
      </w:r>
      <w:r>
        <w:rPr>
          <w:rFonts w:hint="eastAsia" w:ascii="宋体" w:hAnsi="宋体" w:eastAsia="宋体" w:cs="宋体"/>
          <w:kern w:val="2"/>
          <w:sz w:val="21"/>
          <w:szCs w:val="21"/>
          <w:lang w:val="en-US" w:eastAsia="zh-CN" w:bidi="ar"/>
          <w:woUserID w:val="1"/>
        </w:rPr>
        <w:t>倍。截取自破碎机出来后在皮带机上均匀输送的煤流全断面留样，缩分比为</w:t>
      </w:r>
      <w:r>
        <w:rPr>
          <w:rFonts w:hint="default" w:ascii="Calibri" w:hAnsi="Calibri" w:eastAsia="宋体" w:cs="Calibri"/>
          <w:kern w:val="2"/>
          <w:sz w:val="21"/>
          <w:szCs w:val="21"/>
          <w:lang w:val="en-US" w:eastAsia="zh-CN" w:bidi="ar"/>
          <w:woUserID w:val="1"/>
        </w:rPr>
        <w:t>1/4-1/32</w:t>
      </w:r>
      <w:r>
        <w:rPr>
          <w:rFonts w:hint="eastAsia" w:ascii="宋体" w:hAnsi="宋体" w:eastAsia="宋体" w:cs="宋体"/>
          <w:kern w:val="2"/>
          <w:sz w:val="21"/>
          <w:szCs w:val="21"/>
          <w:lang w:val="en-US" w:eastAsia="zh-CN" w:bidi="ar"/>
          <w:woUserID w:val="1"/>
        </w:rPr>
        <w:t>可调，可进行在线缩分，以最大限度的减少人为误差。缩分器具有可靠性高，故障率低，维修方便，缩分精度高，缩分比调节范围大，工作可靠等特点。缩分器的接料斗、弃料斗、样料管均采用不锈钢制作，以有效地防止粘煤和堵煤现象。缩分器缩分水率≤</w:t>
      </w:r>
      <w:r>
        <w:rPr>
          <w:rFonts w:hint="default" w:ascii="Calibri" w:hAnsi="Calibri" w:eastAsia="宋体" w:cs="Calibri"/>
          <w:kern w:val="2"/>
          <w:sz w:val="21"/>
          <w:szCs w:val="21"/>
          <w:lang w:val="en-US" w:eastAsia="zh-CN" w:bidi="ar"/>
          <w:woUserID w:val="1"/>
        </w:rPr>
        <w:t>16%</w:t>
      </w:r>
      <w:r>
        <w:rPr>
          <w:rFonts w:hint="eastAsia" w:ascii="宋体" w:hAnsi="宋体" w:eastAsia="宋体" w:cs="宋体"/>
          <w:kern w:val="2"/>
          <w:sz w:val="21"/>
          <w:szCs w:val="21"/>
          <w:lang w:val="en-US" w:eastAsia="zh-CN" w:bidi="ar"/>
          <w:woUserID w:val="1"/>
        </w:rPr>
        <w:t>的样煤时，机内不会发生粘结、堵塞等现象。结构上采用全密封设计，物料水分损失少。</w:t>
      </w:r>
    </w:p>
    <w:p w14:paraId="7CEA08BD">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8</w:t>
      </w:r>
      <w:r>
        <w:rPr>
          <w:rFonts w:hint="eastAsia" w:ascii="宋体" w:hAnsi="宋体" w:eastAsia="宋体" w:cs="宋体"/>
          <w:b/>
          <w:bCs/>
          <w:kern w:val="2"/>
          <w:sz w:val="21"/>
          <w:szCs w:val="21"/>
          <w:lang w:val="en-US" w:eastAsia="zh-CN" w:bidi="ar"/>
          <w:woUserID w:val="1"/>
        </w:rPr>
        <w:t>）智能分样封装系统</w:t>
      </w:r>
    </w:p>
    <w:p w14:paraId="730D1D83">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智能分样封装系统将采样机破碎缩分后的子样汇总收集和自动封装标识，系统使用不锈钢煤样桶进行自动分矿集样，样桶自动锁盖封装，煤样信息自动标识，样桶自动进出等功能。所有操作无人为干预自动完成，实现了</w:t>
      </w:r>
      <w:r>
        <w:rPr>
          <w:rFonts w:hint="default" w:ascii="Times New Roman" w:hAnsi="Times New Roman" w:eastAsia="宋体" w:cs="Times New Roman"/>
          <w:b w:val="0"/>
          <w:bCs w:val="0"/>
          <w:kern w:val="0"/>
          <w:sz w:val="21"/>
          <w:szCs w:val="21"/>
          <w:vertAlign w:val="baseline"/>
          <w:lang w:val="en-US" w:eastAsia="zh-CN" w:bidi="ar"/>
          <w:woUserID w:val="1"/>
        </w:rPr>
        <w:t>“</w:t>
      </w:r>
      <w:r>
        <w:rPr>
          <w:rFonts w:hint="eastAsia" w:ascii="宋体" w:hAnsi="宋体" w:eastAsia="宋体" w:cs="宋体"/>
          <w:b w:val="0"/>
          <w:bCs w:val="0"/>
          <w:kern w:val="0"/>
          <w:sz w:val="21"/>
          <w:szCs w:val="21"/>
          <w:vertAlign w:val="baseline"/>
          <w:lang w:val="en-US" w:eastAsia="zh-CN" w:bidi="ar"/>
          <w:woUserID w:val="1"/>
        </w:rPr>
        <w:t>人样隔离</w:t>
      </w:r>
      <w:r>
        <w:rPr>
          <w:rFonts w:hint="default" w:ascii="Times New Roman" w:hAnsi="Times New Roman" w:eastAsia="宋体" w:cs="Times New Roman"/>
          <w:b w:val="0"/>
          <w:bCs w:val="0"/>
          <w:kern w:val="0"/>
          <w:sz w:val="21"/>
          <w:szCs w:val="21"/>
          <w:vertAlign w:val="baseline"/>
          <w:lang w:val="en-US" w:eastAsia="zh-CN" w:bidi="ar"/>
          <w:woUserID w:val="1"/>
        </w:rPr>
        <w:t>”</w:t>
      </w:r>
      <w:r>
        <w:rPr>
          <w:rFonts w:hint="eastAsia" w:ascii="宋体" w:hAnsi="宋体" w:eastAsia="宋体" w:cs="宋体"/>
          <w:b w:val="0"/>
          <w:bCs w:val="0"/>
          <w:kern w:val="0"/>
          <w:sz w:val="21"/>
          <w:szCs w:val="21"/>
          <w:vertAlign w:val="baseline"/>
          <w:lang w:val="en-US" w:eastAsia="zh-CN" w:bidi="ar"/>
          <w:woUserID w:val="1"/>
        </w:rPr>
        <w:t>，保证了煤样在转运过程中的安全。</w:t>
      </w:r>
    </w:p>
    <w:p w14:paraId="6945A405">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集样桶整体结构由桶盖、桶身、桶底、</w:t>
      </w:r>
      <w:r>
        <w:rPr>
          <w:rFonts w:hint="default" w:ascii="Times New Roman" w:hAnsi="Times New Roman" w:eastAsia="宋体" w:cs="Times New Roman"/>
          <w:b w:val="0"/>
          <w:bCs w:val="0"/>
          <w:kern w:val="0"/>
          <w:sz w:val="21"/>
          <w:szCs w:val="21"/>
          <w:vertAlign w:val="baseline"/>
          <w:lang w:val="en-US" w:eastAsia="zh-CN" w:bidi="ar"/>
          <w:woUserID w:val="1"/>
        </w:rPr>
        <w:t>RFID</w:t>
      </w:r>
      <w:r>
        <w:rPr>
          <w:rFonts w:hint="eastAsia" w:ascii="宋体" w:hAnsi="宋体" w:eastAsia="宋体" w:cs="宋体"/>
          <w:b w:val="0"/>
          <w:bCs w:val="0"/>
          <w:kern w:val="0"/>
          <w:sz w:val="21"/>
          <w:szCs w:val="21"/>
          <w:vertAlign w:val="baseline"/>
          <w:lang w:val="en-US" w:eastAsia="zh-CN" w:bidi="ar"/>
          <w:woUserID w:val="1"/>
        </w:rPr>
        <w:t>芯片组成，桶盖与桶身采用机械锁扣实现闭锁；样品的批次、重量、时间等信息自动捆绑</w:t>
      </w:r>
      <w:r>
        <w:rPr>
          <w:rFonts w:hint="default" w:ascii="Times New Roman" w:hAnsi="Times New Roman" w:eastAsia="宋体" w:cs="Times New Roman"/>
          <w:b w:val="0"/>
          <w:bCs w:val="0"/>
          <w:kern w:val="0"/>
          <w:sz w:val="21"/>
          <w:szCs w:val="21"/>
          <w:vertAlign w:val="baseline"/>
          <w:lang w:val="en-US" w:eastAsia="zh-CN" w:bidi="ar"/>
          <w:woUserID w:val="1"/>
        </w:rPr>
        <w:t>RFID</w:t>
      </w:r>
      <w:r>
        <w:rPr>
          <w:rFonts w:hint="eastAsia" w:ascii="宋体" w:hAnsi="宋体" w:eastAsia="宋体" w:cs="宋体"/>
          <w:b w:val="0"/>
          <w:bCs w:val="0"/>
          <w:kern w:val="0"/>
          <w:sz w:val="21"/>
          <w:szCs w:val="21"/>
          <w:vertAlign w:val="baseline"/>
          <w:lang w:val="en-US" w:eastAsia="zh-CN" w:bidi="ar"/>
          <w:woUserID w:val="1"/>
        </w:rPr>
        <w:t>标签，信息跟随样品，全程可追溯，且</w:t>
      </w:r>
      <w:r>
        <w:rPr>
          <w:rFonts w:hint="default" w:ascii="Times New Roman" w:hAnsi="Times New Roman" w:eastAsia="宋体" w:cs="Times New Roman"/>
          <w:b w:val="0"/>
          <w:bCs w:val="0"/>
          <w:kern w:val="0"/>
          <w:sz w:val="21"/>
          <w:szCs w:val="21"/>
          <w:vertAlign w:val="baseline"/>
          <w:lang w:val="en-US" w:eastAsia="zh-CN" w:bidi="ar"/>
          <w:woUserID w:val="1"/>
        </w:rPr>
        <w:t>RFID</w:t>
      </w:r>
      <w:r>
        <w:rPr>
          <w:rFonts w:hint="eastAsia" w:ascii="宋体" w:hAnsi="宋体" w:eastAsia="宋体" w:cs="宋体"/>
          <w:b w:val="0"/>
          <w:bCs w:val="0"/>
          <w:kern w:val="0"/>
          <w:sz w:val="21"/>
          <w:szCs w:val="21"/>
          <w:vertAlign w:val="baseline"/>
          <w:lang w:val="en-US" w:eastAsia="zh-CN" w:bidi="ar"/>
          <w:woUserID w:val="1"/>
        </w:rPr>
        <w:t>标签支持反复使用，系统自动识别。</w:t>
      </w:r>
    </w:p>
    <w:p w14:paraId="6E8843E8">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入料口配有称重装置，可自动累积子样重量，防止样品溢出。同时，桶底带有</w:t>
      </w:r>
      <w:r>
        <w:rPr>
          <w:rFonts w:hint="default" w:ascii="Times New Roman" w:hAnsi="Times New Roman" w:eastAsia="宋体" w:cs="Times New Roman"/>
          <w:b w:val="0"/>
          <w:bCs w:val="0"/>
          <w:kern w:val="0"/>
          <w:sz w:val="21"/>
          <w:szCs w:val="21"/>
          <w:vertAlign w:val="baseline"/>
          <w:lang w:val="en-US" w:eastAsia="zh-CN" w:bidi="ar"/>
          <w:woUserID w:val="1"/>
        </w:rPr>
        <w:t>RFID</w:t>
      </w:r>
      <w:r>
        <w:rPr>
          <w:rFonts w:hint="eastAsia" w:ascii="宋体" w:hAnsi="宋体" w:eastAsia="宋体" w:cs="宋体"/>
          <w:b w:val="0"/>
          <w:bCs w:val="0"/>
          <w:kern w:val="0"/>
          <w:sz w:val="21"/>
          <w:szCs w:val="21"/>
          <w:vertAlign w:val="baseline"/>
          <w:lang w:val="en-US" w:eastAsia="zh-CN" w:bidi="ar"/>
          <w:woUserID w:val="1"/>
        </w:rPr>
        <w:t>芯片，通过写码装置可将样品编码、样品重量、封装时间等信息写入，只能在专用读卡装置上才能识别，保证样品信息安全。</w:t>
      </w:r>
    </w:p>
    <w:p w14:paraId="0222B3D1">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分样封装系统可实现自动剔废、自动进桶、称重、读码、装料、开压盖、选桶、自动出桶等功能。</w:t>
      </w:r>
    </w:p>
    <w:p w14:paraId="166F424B">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煤样桶重桶与空桶采用双通道，空桶暂存区设置</w:t>
      </w:r>
      <w:r>
        <w:rPr>
          <w:rFonts w:hint="default" w:ascii="Times New Roman" w:hAnsi="Times New Roman" w:eastAsia="宋体" w:cs="Times New Roman"/>
          <w:b w:val="0"/>
          <w:bCs w:val="0"/>
          <w:kern w:val="0"/>
          <w:sz w:val="21"/>
          <w:szCs w:val="21"/>
          <w:vertAlign w:val="baseline"/>
          <w:lang w:val="en-US" w:eastAsia="zh-CN" w:bidi="ar"/>
          <w:woUserID w:val="1"/>
        </w:rPr>
        <w:t>8</w:t>
      </w:r>
      <w:r>
        <w:rPr>
          <w:rFonts w:hint="eastAsia" w:ascii="宋体" w:hAnsi="宋体" w:eastAsia="宋体" w:cs="宋体"/>
          <w:b w:val="0"/>
          <w:bCs w:val="0"/>
          <w:kern w:val="0"/>
          <w:sz w:val="21"/>
          <w:szCs w:val="21"/>
          <w:vertAlign w:val="baseline"/>
          <w:lang w:val="en-US" w:eastAsia="zh-CN" w:bidi="ar"/>
          <w:woUserID w:val="1"/>
        </w:rPr>
        <w:t>个空桶工位，空桶工位数可拓展，重桶工位根据现场条件设置。</w:t>
      </w:r>
    </w:p>
    <w:p w14:paraId="13DE603C">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系统采用煤样桶和盖一起输送，不需人工补充盖子，并且盖子只在灌装时打开，减少水分损失和提高自动化程度。</w:t>
      </w:r>
    </w:p>
    <w:p w14:paraId="325D3993">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系统拥有</w:t>
      </w:r>
      <w:r>
        <w:rPr>
          <w:rFonts w:hint="default" w:ascii="Times New Roman" w:hAnsi="Times New Roman" w:eastAsia="宋体" w:cs="Times New Roman"/>
          <w:b w:val="0"/>
          <w:bCs w:val="0"/>
          <w:kern w:val="0"/>
          <w:sz w:val="21"/>
          <w:szCs w:val="21"/>
          <w:vertAlign w:val="baseline"/>
          <w:lang w:val="en-US" w:eastAsia="zh-CN" w:bidi="ar"/>
          <w:woUserID w:val="1"/>
        </w:rPr>
        <w:t>8</w:t>
      </w:r>
      <w:r>
        <w:rPr>
          <w:rFonts w:hint="eastAsia" w:ascii="宋体" w:hAnsi="宋体" w:eastAsia="宋体" w:cs="宋体"/>
          <w:b w:val="0"/>
          <w:bCs w:val="0"/>
          <w:kern w:val="0"/>
          <w:sz w:val="21"/>
          <w:szCs w:val="21"/>
          <w:vertAlign w:val="baseline"/>
          <w:lang w:val="en-US" w:eastAsia="zh-CN" w:bidi="ar"/>
          <w:woUserID w:val="1"/>
        </w:rPr>
        <w:t>个封装工位，可支持自动单个补充空煤样桶与排除重煤样桶，也可批量进行进桶与出桶。</w:t>
      </w:r>
    </w:p>
    <w:p w14:paraId="3AEC2073">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分样封装系统封装效率为</w:t>
      </w:r>
      <w:r>
        <w:rPr>
          <w:rFonts w:hint="default" w:ascii="Times New Roman" w:hAnsi="Times New Roman" w:eastAsia="宋体" w:cs="Times New Roman"/>
          <w:b w:val="0"/>
          <w:bCs w:val="0"/>
          <w:kern w:val="0"/>
          <w:sz w:val="21"/>
          <w:szCs w:val="21"/>
          <w:vertAlign w:val="baseline"/>
          <w:lang w:val="en-US" w:eastAsia="zh-CN" w:bidi="ar"/>
          <w:woUserID w:val="1"/>
        </w:rPr>
        <w:t>180s /</w:t>
      </w:r>
      <w:r>
        <w:rPr>
          <w:rFonts w:hint="eastAsia" w:ascii="宋体" w:hAnsi="宋体" w:eastAsia="宋体" w:cs="宋体"/>
          <w:b w:val="0"/>
          <w:bCs w:val="0"/>
          <w:kern w:val="0"/>
          <w:sz w:val="21"/>
          <w:szCs w:val="21"/>
          <w:vertAlign w:val="baseline"/>
          <w:lang w:val="en-US" w:eastAsia="zh-CN" w:bidi="ar"/>
          <w:woUserID w:val="1"/>
        </w:rPr>
        <w:t>样。</w:t>
      </w:r>
    </w:p>
    <w:p w14:paraId="74796898">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系统具备子样称重功能，子样暂存容积为</w:t>
      </w:r>
      <w:r>
        <w:rPr>
          <w:rFonts w:hint="default" w:ascii="Times New Roman" w:hAnsi="Times New Roman" w:eastAsia="宋体" w:cs="Times New Roman"/>
          <w:b w:val="0"/>
          <w:bCs w:val="0"/>
          <w:kern w:val="0"/>
          <w:sz w:val="21"/>
          <w:szCs w:val="21"/>
          <w:vertAlign w:val="baseline"/>
          <w:lang w:val="en-US" w:eastAsia="zh-CN" w:bidi="ar"/>
          <w:woUserID w:val="1"/>
        </w:rPr>
        <w:t>3L</w:t>
      </w:r>
      <w:r>
        <w:rPr>
          <w:rFonts w:hint="eastAsia" w:ascii="宋体" w:hAnsi="宋体" w:eastAsia="宋体" w:cs="宋体"/>
          <w:b w:val="0"/>
          <w:bCs w:val="0"/>
          <w:kern w:val="0"/>
          <w:sz w:val="21"/>
          <w:szCs w:val="21"/>
          <w:vertAlign w:val="baseline"/>
          <w:lang w:val="en-US" w:eastAsia="zh-CN" w:bidi="ar"/>
          <w:woUserID w:val="1"/>
        </w:rPr>
        <w:t>，单次进料子样</w:t>
      </w:r>
      <w:r>
        <w:rPr>
          <w:rFonts w:hint="default" w:ascii="Times New Roman" w:hAnsi="Times New Roman" w:eastAsia="宋体" w:cs="Times New Roman"/>
          <w:b w:val="0"/>
          <w:bCs w:val="0"/>
          <w:kern w:val="0"/>
          <w:sz w:val="21"/>
          <w:szCs w:val="21"/>
          <w:vertAlign w:val="baseline"/>
          <w:lang w:val="en-US" w:eastAsia="zh-CN" w:bidi="ar"/>
          <w:woUserID w:val="1"/>
        </w:rPr>
        <w:t>≤2kg</w:t>
      </w:r>
      <w:r>
        <w:rPr>
          <w:rFonts w:hint="eastAsia" w:ascii="宋体" w:hAnsi="宋体" w:eastAsia="宋体" w:cs="宋体"/>
          <w:b w:val="0"/>
          <w:bCs w:val="0"/>
          <w:kern w:val="0"/>
          <w:sz w:val="21"/>
          <w:szCs w:val="21"/>
          <w:vertAlign w:val="baseline"/>
          <w:lang w:val="en-US" w:eastAsia="zh-CN" w:bidi="ar"/>
          <w:woUserID w:val="1"/>
        </w:rPr>
        <w:t>，总样重量通过子样重量累计得到。</w:t>
      </w:r>
    </w:p>
    <w:p w14:paraId="65D170B0">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封装系统采用不锈钢材质的煤样桶，桶容量</w:t>
      </w:r>
      <w:r>
        <w:rPr>
          <w:rFonts w:hint="eastAsia" w:ascii="宋体" w:hAnsi="宋体" w:eastAsia="宋体" w:cs="宋体"/>
          <w:b w:val="0"/>
          <w:bCs w:val="0"/>
          <w:kern w:val="0"/>
          <w:sz w:val="21"/>
          <w:szCs w:val="21"/>
          <w:vertAlign w:val="baseline"/>
          <w:lang w:val="en-US" w:eastAsia="zh" w:bidi="ar"/>
          <w:woUserID w:val="1"/>
        </w:rPr>
        <w:t>不低于</w:t>
      </w:r>
      <w:r>
        <w:rPr>
          <w:rFonts w:hint="default" w:ascii="Times New Roman" w:hAnsi="Times New Roman" w:eastAsia="宋体" w:cs="Times New Roman"/>
          <w:b w:val="0"/>
          <w:bCs w:val="0"/>
          <w:kern w:val="0"/>
          <w:sz w:val="21"/>
          <w:szCs w:val="21"/>
          <w:vertAlign w:val="baseline"/>
          <w:lang w:val="en-US" w:eastAsia="zh-CN" w:bidi="ar"/>
          <w:woUserID w:val="1"/>
        </w:rPr>
        <w:t>30L</w:t>
      </w:r>
      <w:r>
        <w:rPr>
          <w:rFonts w:hint="eastAsia" w:ascii="宋体" w:hAnsi="宋体" w:eastAsia="宋体" w:cs="宋体"/>
          <w:b w:val="0"/>
          <w:bCs w:val="0"/>
          <w:kern w:val="0"/>
          <w:sz w:val="21"/>
          <w:szCs w:val="21"/>
          <w:vertAlign w:val="baseline"/>
          <w:lang w:val="en-US" w:eastAsia="zh-CN" w:bidi="ar"/>
          <w:woUserID w:val="1"/>
        </w:rPr>
        <w:t>。</w:t>
      </w:r>
    </w:p>
    <w:p w14:paraId="7439B3E0">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煤样桶的密码盖采用无线供电，有效使用寿命</w:t>
      </w:r>
      <w:r>
        <w:rPr>
          <w:rFonts w:hint="default" w:ascii="Times New Roman" w:hAnsi="Times New Roman" w:eastAsia="宋体" w:cs="Times New Roman"/>
          <w:b w:val="0"/>
          <w:bCs w:val="0"/>
          <w:kern w:val="0"/>
          <w:sz w:val="21"/>
          <w:szCs w:val="21"/>
          <w:vertAlign w:val="baseline"/>
          <w:lang w:val="en-US" w:eastAsia="zh-CN" w:bidi="ar"/>
          <w:woUserID w:val="1"/>
        </w:rPr>
        <w:t>2000</w:t>
      </w:r>
      <w:r>
        <w:rPr>
          <w:rFonts w:hint="eastAsia" w:ascii="宋体" w:hAnsi="宋体" w:eastAsia="宋体" w:cs="宋体"/>
          <w:b w:val="0"/>
          <w:bCs w:val="0"/>
          <w:kern w:val="0"/>
          <w:sz w:val="21"/>
          <w:szCs w:val="21"/>
          <w:vertAlign w:val="baseline"/>
          <w:lang w:val="en-US" w:eastAsia="zh-CN" w:bidi="ar"/>
          <w:woUserID w:val="1"/>
        </w:rPr>
        <w:t>次以上，无故障使用</w:t>
      </w:r>
      <w:r>
        <w:rPr>
          <w:rFonts w:hint="default" w:ascii="Times New Roman" w:hAnsi="Times New Roman" w:eastAsia="宋体" w:cs="Times New Roman"/>
          <w:b w:val="0"/>
          <w:bCs w:val="0"/>
          <w:kern w:val="0"/>
          <w:sz w:val="21"/>
          <w:szCs w:val="21"/>
          <w:vertAlign w:val="baseline"/>
          <w:lang w:val="en-US" w:eastAsia="zh-CN" w:bidi="ar"/>
          <w:woUserID w:val="1"/>
        </w:rPr>
        <w:t>600</w:t>
      </w:r>
      <w:r>
        <w:rPr>
          <w:rFonts w:hint="eastAsia" w:ascii="宋体" w:hAnsi="宋体" w:eastAsia="宋体" w:cs="宋体"/>
          <w:b w:val="0"/>
          <w:bCs w:val="0"/>
          <w:kern w:val="0"/>
          <w:sz w:val="21"/>
          <w:szCs w:val="21"/>
          <w:vertAlign w:val="baseline"/>
          <w:lang w:val="en-US" w:eastAsia="zh-CN" w:bidi="ar"/>
          <w:woUserID w:val="1"/>
        </w:rPr>
        <w:t>次以上。</w:t>
      </w:r>
    </w:p>
    <w:p w14:paraId="44D3C205">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电控核心部分采用可编程控制器（</w:t>
      </w:r>
      <w:r>
        <w:rPr>
          <w:rFonts w:hint="default" w:ascii="Times New Roman" w:hAnsi="Times New Roman" w:eastAsia="宋体" w:cs="Times New Roman"/>
          <w:b w:val="0"/>
          <w:bCs w:val="0"/>
          <w:kern w:val="0"/>
          <w:sz w:val="21"/>
          <w:szCs w:val="21"/>
          <w:vertAlign w:val="baseline"/>
          <w:lang w:val="en-US" w:eastAsia="zh-CN" w:bidi="ar"/>
          <w:woUserID w:val="1"/>
        </w:rPr>
        <w:t>PLC</w:t>
      </w:r>
      <w:r>
        <w:rPr>
          <w:rFonts w:hint="eastAsia" w:ascii="宋体" w:hAnsi="宋体" w:eastAsia="宋体" w:cs="宋体"/>
          <w:b w:val="0"/>
          <w:bCs w:val="0"/>
          <w:kern w:val="0"/>
          <w:sz w:val="21"/>
          <w:szCs w:val="21"/>
          <w:vertAlign w:val="baseline"/>
          <w:lang w:val="en-US" w:eastAsia="zh-CN" w:bidi="ar"/>
          <w:woUserID w:val="1"/>
        </w:rPr>
        <w:t>），性能可靠、稳定。</w:t>
      </w:r>
    </w:p>
    <w:p w14:paraId="62AA955F">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设备可实现手动、半自动、自动操作；全部工作经开关和触摸屏完成。</w:t>
      </w:r>
    </w:p>
    <w:p w14:paraId="0D0B1ED2">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设置管理级别，操作、维护、管理权限分开，便捷管理，参数调整方便，有权限用户可对设备调整，使设备工作在最优状态。</w:t>
      </w:r>
    </w:p>
    <w:p w14:paraId="6978EE56">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整机设备具有故障报警提示、故障记录存储，便于维护。</w:t>
      </w:r>
    </w:p>
    <w:p w14:paraId="02A5967A">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智能设备间采取</w:t>
      </w:r>
      <w:r>
        <w:rPr>
          <w:rFonts w:hint="default" w:ascii="Times New Roman" w:hAnsi="Times New Roman" w:eastAsia="宋体" w:cs="Times New Roman"/>
          <w:b w:val="0"/>
          <w:bCs w:val="0"/>
          <w:kern w:val="0"/>
          <w:sz w:val="21"/>
          <w:szCs w:val="21"/>
          <w:vertAlign w:val="baseline"/>
          <w:lang w:val="en-US" w:eastAsia="zh-CN" w:bidi="ar"/>
          <w:woUserID w:val="1"/>
        </w:rPr>
        <w:t>TCP/IP</w:t>
      </w:r>
      <w:r>
        <w:rPr>
          <w:rFonts w:hint="eastAsia" w:ascii="宋体" w:hAnsi="宋体" w:eastAsia="宋体" w:cs="宋体"/>
          <w:b w:val="0"/>
          <w:bCs w:val="0"/>
          <w:kern w:val="0"/>
          <w:sz w:val="21"/>
          <w:szCs w:val="21"/>
          <w:vertAlign w:val="baseline"/>
          <w:lang w:val="en-US" w:eastAsia="zh-CN" w:bidi="ar"/>
          <w:woUserID w:val="1"/>
        </w:rPr>
        <w:t>方式，实现与上级管控或上位机连接，实现全自动流程运行。</w:t>
      </w:r>
    </w:p>
    <w:p w14:paraId="383FEBA4">
      <w:pPr>
        <w:keepNext w:val="0"/>
        <w:keepLines w:val="0"/>
        <w:widowControl w:val="0"/>
        <w:suppressLineNumbers w:val="0"/>
        <w:adjustRightInd w:val="0"/>
        <w:spacing w:before="0" w:beforeAutospacing="0" w:after="0" w:afterAutospacing="0" w:line="360" w:lineRule="auto"/>
        <w:ind w:left="0" w:right="0" w:firstLine="420" w:firstLineChars="200"/>
        <w:jc w:val="both"/>
        <w:textAlignment w:val="baseline"/>
        <w:rPr>
          <w:rFonts w:hint="default" w:ascii="Times New Roman" w:hAnsi="Times New Roman" w:eastAsia="宋体" w:cs="Times New Roman"/>
          <w:b w:val="0"/>
          <w:bCs w:val="0"/>
          <w:kern w:val="0"/>
          <w:sz w:val="21"/>
          <w:szCs w:val="21"/>
          <w:vertAlign w:val="baseline"/>
          <w:woUserID w:val="1"/>
        </w:rPr>
      </w:pPr>
      <w:r>
        <w:rPr>
          <w:rFonts w:hint="eastAsia" w:ascii="宋体" w:hAnsi="宋体" w:eastAsia="宋体" w:cs="宋体"/>
          <w:b w:val="0"/>
          <w:bCs w:val="0"/>
          <w:kern w:val="0"/>
          <w:sz w:val="21"/>
          <w:szCs w:val="21"/>
          <w:vertAlign w:val="baseline"/>
          <w:lang w:val="en-US" w:eastAsia="zh-CN" w:bidi="ar"/>
          <w:woUserID w:val="1"/>
        </w:rPr>
        <w:t>封装系统各部件设置可开闭的检查门（窗），并留有（足够的）检查空间，便于检查和维修。</w:t>
      </w:r>
    </w:p>
    <w:p w14:paraId="5F6C14BC">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9</w:t>
      </w:r>
      <w:r>
        <w:rPr>
          <w:rFonts w:hint="eastAsia" w:ascii="宋体" w:hAnsi="宋体" w:eastAsia="宋体" w:cs="宋体"/>
          <w:b/>
          <w:bCs/>
          <w:kern w:val="2"/>
          <w:sz w:val="21"/>
          <w:szCs w:val="21"/>
          <w:lang w:val="en-US" w:eastAsia="zh-CN" w:bidi="ar"/>
          <w:woUserID w:val="1"/>
        </w:rPr>
        <w:t>）余煤返排系统</w:t>
      </w:r>
    </w:p>
    <w:p w14:paraId="268B5FEF">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弃料系统由弃料皮带接取到汽车采样机处理后的弃料，并直接返排到弃料间内的弃料仓，弃料仓设置底部闸门，闸门灵活，不卡涩。弃料由业主自备小车运走处理。</w:t>
      </w:r>
    </w:p>
    <w:p w14:paraId="62FA0A21">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firstLineChars="0"/>
        <w:jc w:val="both"/>
        <w:rPr>
          <w:rFonts w:hint="eastAsia" w:ascii="Calibri" w:hAnsi="Calibri" w:eastAsia="宋体" w:cs="Times New Roman"/>
          <w:b/>
          <w:bCs/>
          <w:kern w:val="2"/>
          <w:sz w:val="21"/>
          <w:szCs w:val="21"/>
          <w:woUserID w:val="1"/>
        </w:rPr>
      </w:pPr>
      <w:r>
        <w:rPr>
          <w:rFonts w:hint="eastAsia" w:ascii="宋体" w:hAnsi="宋体" w:eastAsia="宋体" w:cs="宋体"/>
          <w:b/>
          <w:bCs/>
          <w:kern w:val="2"/>
          <w:sz w:val="21"/>
          <w:szCs w:val="21"/>
          <w:lang w:val="en-US" w:eastAsia="zh-CN" w:bidi="ar"/>
          <w:woUserID w:val="1"/>
        </w:rPr>
        <w:t>（</w:t>
      </w:r>
      <w:r>
        <w:rPr>
          <w:rFonts w:hint="default" w:ascii="Times New Roman" w:hAnsi="Times New Roman" w:eastAsia="宋体" w:cs="Times New Roman"/>
          <w:b/>
          <w:bCs/>
          <w:kern w:val="2"/>
          <w:sz w:val="21"/>
          <w:szCs w:val="21"/>
          <w:lang w:val="en-US" w:eastAsia="zh-CN" w:bidi="ar"/>
          <w:woUserID w:val="1"/>
        </w:rPr>
        <w:t>10</w:t>
      </w:r>
      <w:r>
        <w:rPr>
          <w:rFonts w:hint="eastAsia" w:ascii="宋体" w:hAnsi="宋体" w:eastAsia="宋体" w:cs="宋体"/>
          <w:b/>
          <w:bCs/>
          <w:kern w:val="2"/>
          <w:sz w:val="21"/>
          <w:szCs w:val="21"/>
          <w:lang w:val="en-US" w:eastAsia="zh-CN" w:bidi="ar"/>
          <w:woUserID w:val="1"/>
        </w:rPr>
        <w:t>）全自动定位系统</w:t>
      </w:r>
    </w:p>
    <w:p w14:paraId="3FAB11A8">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采用自动定位技术，定位采用超声波</w:t>
      </w:r>
      <w:r>
        <w:rPr>
          <w:rFonts w:hint="default" w:ascii="Calibri" w:hAnsi="Calibri" w:eastAsia="宋体" w:cs="Calibri"/>
          <w:kern w:val="2"/>
          <w:sz w:val="21"/>
          <w:szCs w:val="21"/>
          <w:lang w:val="en-US" w:eastAsia="zh-CN" w:bidi="ar"/>
          <w:woUserID w:val="1"/>
        </w:rPr>
        <w:t>+</w:t>
      </w:r>
      <w:r>
        <w:rPr>
          <w:rFonts w:hint="eastAsia" w:ascii="宋体" w:hAnsi="宋体" w:eastAsia="宋体" w:cs="宋体"/>
          <w:kern w:val="2"/>
          <w:sz w:val="21"/>
          <w:szCs w:val="21"/>
          <w:lang w:val="en-US" w:eastAsia="zh-CN" w:bidi="ar"/>
          <w:woUserID w:val="1"/>
        </w:rPr>
        <w:t>红外传感器双重定位，在采样范围内能自动并准确的探测到运煤车辆的停车位置，确立采样原点，自动完成采制样过程，避免了人为因素的干扰。</w:t>
      </w:r>
    </w:p>
    <w:p w14:paraId="03BFA173">
      <w:pPr>
        <w:keepNext w:val="0"/>
        <w:keepLines w:val="0"/>
        <w:widowControl w:val="0"/>
        <w:suppressLineNumbers w:val="0"/>
        <w:tabs>
          <w:tab w:val="left" w:pos="480"/>
          <w:tab w:val="left" w:pos="720"/>
        </w:tabs>
        <w:kinsoku w:val="0"/>
        <w:overflowPunct w:val="0"/>
        <w:autoSpaceDE w:val="0"/>
        <w:autoSpaceDN w:val="0"/>
        <w:spacing w:before="0" w:beforeAutospacing="0" w:after="0" w:afterAutospacing="0" w:line="360" w:lineRule="auto"/>
        <w:ind w:left="0" w:right="0" w:firstLine="480"/>
        <w:jc w:val="both"/>
        <w:rPr>
          <w:rFonts w:hint="eastAsia" w:ascii="Calibri" w:hAnsi="Calibri" w:eastAsia="宋体" w:cs="Times New Roman"/>
          <w:kern w:val="2"/>
          <w:sz w:val="21"/>
          <w:szCs w:val="21"/>
          <w:woUserID w:val="1"/>
        </w:rPr>
      </w:pPr>
      <w:r>
        <w:rPr>
          <w:rFonts w:hint="eastAsia" w:ascii="宋体" w:hAnsi="宋体" w:eastAsia="宋体" w:cs="宋体"/>
          <w:kern w:val="2"/>
          <w:sz w:val="21"/>
          <w:szCs w:val="21"/>
          <w:lang w:val="en-US" w:eastAsia="zh-CN" w:bidi="ar"/>
          <w:woUserID w:val="1"/>
        </w:rPr>
        <w:t>具体工作流程：当运煤车辆停稳静止后，采制样机大车从采样原点启动，沿汽车前进方向开往运煤车上部，安装在大车上的纵向定位传感器在大车启动的同时开始不断探测，当纵向定位传感器检测到煤车车厢尾部后，通过横向定位装置测定汽车横向位置，最终定位到车厢内的随机生成的采样点坐标位置，自动完成运煤车辆的车厢定位工作和车厢内随机取点的工作。</w:t>
      </w:r>
    </w:p>
    <w:p w14:paraId="69BBE1E3">
      <w:pPr>
        <w:keepNext w:val="0"/>
        <w:keepLines w:val="0"/>
        <w:widowControl w:val="0"/>
        <w:suppressLineNumbers w:val="0"/>
        <w:spacing w:before="0" w:beforeAutospacing="0" w:after="0" w:afterAutospacing="0" w:line="360" w:lineRule="auto"/>
        <w:ind w:left="0" w:right="0" w:firstLine="0" w:firstLineChars="0"/>
        <w:jc w:val="both"/>
        <w:outlineLvl w:val="3"/>
        <w:rPr>
          <w:rFonts w:hint="eastAsia" w:ascii="Calibri" w:hAnsi="Calibri" w:eastAsia="宋体" w:cs="Times New Roman"/>
          <w:bCs/>
          <w:color w:val="000000"/>
          <w:kern w:val="2"/>
          <w:sz w:val="21"/>
          <w:szCs w:val="21"/>
          <w:woUserID w:val="1"/>
        </w:rPr>
      </w:pPr>
      <w:r>
        <w:rPr>
          <w:rFonts w:hint="default" w:ascii="Calibri" w:hAnsi="Calibri" w:eastAsia="宋体" w:cs="Calibri"/>
          <w:bCs/>
          <w:color w:val="000000"/>
          <w:kern w:val="2"/>
          <w:sz w:val="21"/>
          <w:szCs w:val="21"/>
          <w:lang w:val="en-US" w:eastAsia="zh-CN" w:bidi="ar"/>
          <w:woUserID w:val="1"/>
        </w:rPr>
        <w:t>5.1.3</w:t>
      </w:r>
      <w:r>
        <w:rPr>
          <w:rFonts w:hint="default" w:ascii="Calibri" w:hAnsi="Calibri" w:eastAsia="宋体" w:cs="Times New Roman"/>
          <w:bCs/>
          <w:color w:val="000000"/>
          <w:kern w:val="2"/>
          <w:sz w:val="21"/>
          <w:szCs w:val="21"/>
          <w:lang w:val="en-US" w:eastAsia="zh-CN" w:bidi="ar"/>
          <w:woUserID w:val="1"/>
        </w:rPr>
        <w:t xml:space="preserve"> </w:t>
      </w:r>
      <w:r>
        <w:rPr>
          <w:rFonts w:hint="eastAsia" w:ascii="宋体" w:hAnsi="宋体" w:eastAsia="宋体" w:cs="宋体"/>
          <w:bCs/>
          <w:color w:val="000000"/>
          <w:kern w:val="2"/>
          <w:sz w:val="21"/>
          <w:szCs w:val="21"/>
          <w:lang w:val="en-US" w:eastAsia="zh-CN" w:bidi="ar"/>
          <w:woUserID w:val="1"/>
        </w:rPr>
        <w:t>电气要求</w:t>
      </w:r>
    </w:p>
    <w:p w14:paraId="0305355F">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5.1.3</w:t>
      </w:r>
      <w:r>
        <w:rPr>
          <w:rFonts w:hint="default" w:ascii="Calibri" w:hAnsi="Calibri" w:eastAsia="宋体" w:cs="Times New Roman"/>
          <w:color w:val="000000"/>
          <w:kern w:val="2"/>
          <w:sz w:val="21"/>
          <w:szCs w:val="21"/>
          <w:lang w:val="en-US" w:eastAsia="zh-CN" w:bidi="ar"/>
          <w:woUserID w:val="1"/>
        </w:rPr>
        <w:t>.1</w:t>
      </w:r>
      <w:r>
        <w:rPr>
          <w:rFonts w:hint="eastAsia" w:ascii="宋体" w:hAnsi="宋体" w:eastAsia="宋体" w:cs="宋体"/>
          <w:color w:val="000000"/>
          <w:kern w:val="2"/>
          <w:sz w:val="21"/>
          <w:szCs w:val="21"/>
          <w:lang w:val="en-US" w:eastAsia="zh-CN" w:bidi="ar"/>
          <w:woUserID w:val="1"/>
        </w:rPr>
        <w:t>电气控制系统</w:t>
      </w:r>
    </w:p>
    <w:p w14:paraId="43DC264E">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采用可编程控制器（</w:t>
      </w:r>
      <w:r>
        <w:rPr>
          <w:rFonts w:hint="default" w:ascii="Calibri" w:hAnsi="Calibri" w:eastAsia="宋体" w:cs="Times New Roman"/>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）进行控制，结合上位机进行监控，并和燃料智能化集中管控系统进行通讯，接收管控系统生成的采样方案并自动执行，最终将采样执行情况反馈给管控系统，应无偿提供</w:t>
      </w:r>
      <w:r>
        <w:rPr>
          <w:rFonts w:hint="default" w:ascii="Calibri" w:hAnsi="Calibri" w:eastAsia="宋体" w:cs="Calibri"/>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密码或加密狗、组态备份等，确保所提供资料可正常使用。</w:t>
      </w:r>
    </w:p>
    <w:p w14:paraId="1BFF8525">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采样机控制程序增加偏倚性能试验功能模块，初级采样头可人工点动运行，后续的破碎、缩分、收样、弃料等环节按原设定参数正常运行。</w:t>
      </w:r>
    </w:p>
    <w:p w14:paraId="3C7B5C5A">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采样机控制程序增加精密度性能试验功能模块，样品收集装置换罐（桶）参数在线可调，当子样数等于设定参数时，系统自动换罐（桶）。</w:t>
      </w:r>
    </w:p>
    <w:p w14:paraId="65A1B58A">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系统由电气控制柜、现场操作箱等组成。系统有手动及自动两种工作方式。在“手动”方式下，系统由现场操作开关来完成各单体设备的启停；在“自动”方式下，系统工作由</w:t>
      </w:r>
      <w:r>
        <w:rPr>
          <w:rFonts w:hint="default" w:ascii="Calibri" w:hAnsi="Calibri" w:eastAsia="宋体" w:cs="Times New Roman"/>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内部程序控制，设备的运行依照一定的联锁关系动作，并且系统在显示屏上给出工作状态显示，一旦出现故障，故障设备上级的所有设备将立即停止，而且下级的所有设备将继续运行来清扫系统。</w:t>
      </w:r>
    </w:p>
    <w:p w14:paraId="5DEC834E">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缩分后样品收集，要求集样桶、矿点和运输车辆一一对应，系统将自动记录所采样的矿名、采样次数累计数、对应集样桶号、采样时间。</w:t>
      </w:r>
    </w:p>
    <w:p w14:paraId="4A43FD32">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5.1.3</w:t>
      </w:r>
      <w:r>
        <w:rPr>
          <w:rFonts w:hint="default" w:ascii="Calibri" w:hAnsi="Calibri" w:eastAsia="宋体" w:cs="Times New Roman"/>
          <w:color w:val="000000"/>
          <w:kern w:val="2"/>
          <w:sz w:val="21"/>
          <w:szCs w:val="21"/>
          <w:lang w:val="en-US" w:eastAsia="zh-CN" w:bidi="ar"/>
          <w:woUserID w:val="1"/>
        </w:rPr>
        <w:t xml:space="preserve">.2 </w:t>
      </w:r>
      <w:r>
        <w:rPr>
          <w:rFonts w:hint="eastAsia" w:ascii="宋体" w:hAnsi="宋体" w:eastAsia="宋体" w:cs="宋体"/>
          <w:color w:val="000000"/>
          <w:kern w:val="2"/>
          <w:sz w:val="21"/>
          <w:szCs w:val="21"/>
          <w:lang w:val="en-US" w:eastAsia="zh-CN" w:bidi="ar"/>
          <w:woUserID w:val="1"/>
        </w:rPr>
        <w:t>上位机</w:t>
      </w:r>
    </w:p>
    <w:p w14:paraId="6022B114">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1</w:t>
      </w:r>
      <w:r>
        <w:rPr>
          <w:rFonts w:hint="eastAsia" w:ascii="宋体" w:hAnsi="宋体" w:eastAsia="宋体" w:cs="宋体"/>
          <w:color w:val="000000"/>
          <w:kern w:val="2"/>
          <w:sz w:val="21"/>
          <w:szCs w:val="21"/>
          <w:lang w:val="en-US" w:eastAsia="zh-CN" w:bidi="ar"/>
          <w:woUserID w:val="1"/>
        </w:rPr>
        <w:t>）采样系统工作画面能够显示采样工作流程，根据采样工作流程动态实时监测运行状态，显示当前采样及设备相关状态信息。</w:t>
      </w:r>
    </w:p>
    <w:p w14:paraId="4CA2D4BF">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2</w:t>
      </w:r>
      <w:r>
        <w:rPr>
          <w:rFonts w:hint="eastAsia" w:ascii="宋体" w:hAnsi="宋体" w:eastAsia="宋体" w:cs="宋体"/>
          <w:color w:val="000000"/>
          <w:kern w:val="2"/>
          <w:sz w:val="21"/>
          <w:szCs w:val="21"/>
          <w:lang w:val="en-US" w:eastAsia="zh-CN" w:bidi="ar"/>
          <w:woUserID w:val="1"/>
        </w:rPr>
        <w:t>）采样系统带有信息报表的输入、查寻及打印输出等功能，系统能保存</w:t>
      </w:r>
      <w:r>
        <w:rPr>
          <w:rFonts w:hint="default" w:ascii="Calibri" w:hAnsi="Calibri" w:eastAsia="宋体" w:cs="Calibri"/>
          <w:color w:val="000000"/>
          <w:kern w:val="2"/>
          <w:sz w:val="21"/>
          <w:szCs w:val="21"/>
          <w:lang w:val="en-US" w:eastAsia="zh-CN" w:bidi="ar"/>
          <w:woUserID w:val="1"/>
        </w:rPr>
        <w:t>6</w:t>
      </w:r>
      <w:r>
        <w:rPr>
          <w:rFonts w:hint="eastAsia" w:ascii="宋体" w:hAnsi="宋体" w:eastAsia="宋体" w:cs="宋体"/>
          <w:color w:val="000000"/>
          <w:kern w:val="2"/>
          <w:sz w:val="21"/>
          <w:szCs w:val="21"/>
          <w:lang w:val="en-US" w:eastAsia="zh-CN" w:bidi="ar"/>
          <w:woUserID w:val="1"/>
        </w:rPr>
        <w:t>年的数据；系统具有网络通迅接口。</w:t>
      </w:r>
    </w:p>
    <w:p w14:paraId="005E7BFD">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3</w:t>
      </w:r>
      <w:r>
        <w:rPr>
          <w:rFonts w:hint="eastAsia" w:ascii="宋体" w:hAnsi="宋体" w:eastAsia="宋体" w:cs="宋体"/>
          <w:color w:val="000000"/>
          <w:kern w:val="2"/>
          <w:sz w:val="21"/>
          <w:szCs w:val="21"/>
          <w:lang w:val="en-US" w:eastAsia="zh-CN" w:bidi="ar"/>
          <w:woUserID w:val="1"/>
        </w:rPr>
        <w:t>）采样系统工作画面包括由主工作、采样信息维护、采样计划编辑、故障诊断、操作帮助、采样记录查询及报警历史记录等功能。</w:t>
      </w:r>
    </w:p>
    <w:p w14:paraId="46EE791D">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4</w:t>
      </w:r>
      <w:r>
        <w:rPr>
          <w:rFonts w:hint="eastAsia" w:ascii="宋体" w:hAnsi="宋体" w:eastAsia="宋体" w:cs="宋体"/>
          <w:color w:val="000000"/>
          <w:kern w:val="2"/>
          <w:sz w:val="21"/>
          <w:szCs w:val="21"/>
          <w:lang w:val="en-US" w:eastAsia="zh-CN" w:bidi="ar"/>
          <w:woUserID w:val="1"/>
        </w:rPr>
        <w:t>）采样记录查询：记录采样时间、采样点位置、采样方式、车厢编号、采样对象、采样操作者等信息，进行采样记录查询操作。</w:t>
      </w:r>
    </w:p>
    <w:p w14:paraId="74D425E2">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5</w:t>
      </w:r>
      <w:r>
        <w:rPr>
          <w:rFonts w:hint="eastAsia" w:ascii="宋体" w:hAnsi="宋体" w:eastAsia="宋体" w:cs="宋体"/>
          <w:color w:val="000000"/>
          <w:kern w:val="2"/>
          <w:sz w:val="21"/>
          <w:szCs w:val="21"/>
          <w:lang w:val="en-US" w:eastAsia="zh-CN" w:bidi="ar"/>
          <w:woUserID w:val="1"/>
        </w:rPr>
        <w:t>）上位机实行用户管理，用户按岗位权限进行分级。具备系统操作、监测管理、事故报警、事故自诊断、采样统计等功能。能根据现场控制要求，采用可选的频次、缩分比方式。</w:t>
      </w:r>
      <w:r>
        <w:rPr>
          <w:rFonts w:hint="default" w:ascii="Calibri" w:hAnsi="Calibri" w:eastAsia="宋体" w:cs="Times New Roman"/>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安装在采样机控制室，通过专用电缆与燃料智能化管控中心通讯，按批次来煤多少定制多种采样模式，自动完成分批次机械采样工作，能够按批次等多维度进行统计。</w:t>
      </w:r>
      <w:r>
        <w:rPr>
          <w:rFonts w:hint="default" w:ascii="Calibri" w:hAnsi="Calibri" w:eastAsia="宋体" w:cs="Times New Roman"/>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及上位机用户程序需按采购人要求定制编写，并建立采样数据库。</w:t>
      </w:r>
    </w:p>
    <w:p w14:paraId="0B9C6943">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7</w:t>
      </w:r>
      <w:r>
        <w:rPr>
          <w:rFonts w:hint="eastAsia" w:ascii="宋体" w:hAnsi="宋体" w:eastAsia="宋体" w:cs="宋体"/>
          <w:color w:val="000000"/>
          <w:kern w:val="2"/>
          <w:sz w:val="21"/>
          <w:szCs w:val="21"/>
          <w:lang w:val="en-US" w:eastAsia="zh-CN" w:bidi="ar"/>
          <w:woUserID w:val="1"/>
        </w:rPr>
        <w:t>）具备与燃料智能化集中管控系统数据互访的接口功能，能够从燃料智能化集中管控系统中读取数据（包括车辆信息、采样编码，采样单元煤量，时间，煤种等信息），并且能够满足燃料智能化集中管控系统从静止煤采样系统中读取采样数据信息（包括采样方案、子样数，总样重量等采样信息）。</w:t>
      </w:r>
    </w:p>
    <w:p w14:paraId="5EC173B4">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5.1.3</w:t>
      </w:r>
      <w:r>
        <w:rPr>
          <w:rFonts w:hint="default" w:ascii="Calibri" w:hAnsi="Calibri" w:eastAsia="宋体" w:cs="Times New Roman"/>
          <w:color w:val="000000"/>
          <w:kern w:val="2"/>
          <w:sz w:val="21"/>
          <w:szCs w:val="21"/>
          <w:lang w:val="en-US" w:eastAsia="zh-CN" w:bidi="ar"/>
          <w:woUserID w:val="1"/>
        </w:rPr>
        <w:t xml:space="preserve">.3 </w:t>
      </w:r>
      <w:r>
        <w:rPr>
          <w:rFonts w:hint="eastAsia" w:ascii="宋体" w:hAnsi="宋体" w:eastAsia="宋体" w:cs="宋体"/>
          <w:color w:val="000000"/>
          <w:kern w:val="2"/>
          <w:sz w:val="21"/>
          <w:szCs w:val="21"/>
          <w:lang w:val="en-US" w:eastAsia="zh-CN" w:bidi="ar"/>
          <w:woUserID w:val="1"/>
        </w:rPr>
        <w:t>电动机</w:t>
      </w:r>
    </w:p>
    <w:p w14:paraId="6D0DAAA0">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1</w:t>
      </w:r>
      <w:r>
        <w:rPr>
          <w:rFonts w:hint="eastAsia" w:ascii="宋体" w:hAnsi="宋体" w:eastAsia="宋体" w:cs="宋体"/>
          <w:color w:val="000000"/>
          <w:kern w:val="2"/>
          <w:sz w:val="21"/>
          <w:szCs w:val="21"/>
          <w:lang w:val="en-US" w:eastAsia="zh-CN" w:bidi="ar"/>
          <w:woUserID w:val="1"/>
        </w:rPr>
        <w:t>）防护等级：</w:t>
      </w:r>
      <w:r>
        <w:rPr>
          <w:rFonts w:hint="default" w:ascii="Calibri" w:hAnsi="Calibri" w:eastAsia="宋体" w:cs="Calibri"/>
          <w:color w:val="000000"/>
          <w:kern w:val="2"/>
          <w:sz w:val="21"/>
          <w:szCs w:val="21"/>
          <w:lang w:val="en-US" w:eastAsia="zh-CN" w:bidi="ar"/>
          <w:woUserID w:val="1"/>
        </w:rPr>
        <w:t>≥IP55;</w:t>
      </w:r>
    </w:p>
    <w:p w14:paraId="07E4A4EF">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2</w:t>
      </w:r>
      <w:r>
        <w:rPr>
          <w:rFonts w:hint="eastAsia" w:ascii="宋体" w:hAnsi="宋体" w:eastAsia="宋体" w:cs="宋体"/>
          <w:color w:val="000000"/>
          <w:kern w:val="2"/>
          <w:sz w:val="21"/>
          <w:szCs w:val="21"/>
          <w:lang w:val="en-US" w:eastAsia="zh-CN" w:bidi="ar"/>
          <w:woUserID w:val="1"/>
        </w:rPr>
        <w:t>）绝缘等级：</w:t>
      </w:r>
      <w:r>
        <w:rPr>
          <w:rFonts w:hint="default" w:ascii="Calibri" w:hAnsi="Calibri" w:eastAsia="宋体" w:cs="Calibri"/>
          <w:color w:val="000000"/>
          <w:kern w:val="2"/>
          <w:sz w:val="21"/>
          <w:szCs w:val="21"/>
          <w:lang w:val="en-US" w:eastAsia="zh-CN" w:bidi="ar"/>
          <w:woUserID w:val="1"/>
        </w:rPr>
        <w:t>F</w:t>
      </w:r>
      <w:r>
        <w:rPr>
          <w:rFonts w:hint="eastAsia" w:ascii="宋体" w:hAnsi="宋体" w:eastAsia="宋体" w:cs="宋体"/>
          <w:color w:val="000000"/>
          <w:kern w:val="2"/>
          <w:sz w:val="21"/>
          <w:szCs w:val="21"/>
          <w:lang w:val="en-US" w:eastAsia="zh-CN" w:bidi="ar"/>
          <w:woUserID w:val="1"/>
        </w:rPr>
        <w:t>级（温升按</w:t>
      </w:r>
      <w:r>
        <w:rPr>
          <w:rFonts w:hint="default" w:ascii="Calibri" w:hAnsi="Calibri" w:eastAsia="宋体" w:cs="Times New Roman"/>
          <w:color w:val="000000"/>
          <w:kern w:val="2"/>
          <w:sz w:val="21"/>
          <w:szCs w:val="21"/>
          <w:lang w:val="en-US" w:eastAsia="zh-CN" w:bidi="ar"/>
          <w:woUserID w:val="1"/>
        </w:rPr>
        <w:t>B</w:t>
      </w:r>
      <w:r>
        <w:rPr>
          <w:rFonts w:hint="eastAsia" w:ascii="宋体" w:hAnsi="宋体" w:eastAsia="宋体" w:cs="宋体"/>
          <w:color w:val="000000"/>
          <w:kern w:val="2"/>
          <w:sz w:val="21"/>
          <w:szCs w:val="21"/>
          <w:lang w:val="en-US" w:eastAsia="zh-CN" w:bidi="ar"/>
          <w:woUserID w:val="1"/>
        </w:rPr>
        <w:t>级考虑）</w:t>
      </w:r>
      <w:r>
        <w:rPr>
          <w:rFonts w:hint="default" w:ascii="Calibri" w:hAnsi="Calibri" w:eastAsia="宋体" w:cs="Calibri"/>
          <w:color w:val="000000"/>
          <w:kern w:val="2"/>
          <w:sz w:val="21"/>
          <w:szCs w:val="21"/>
          <w:lang w:val="en-US" w:eastAsia="zh-CN" w:bidi="ar"/>
          <w:woUserID w:val="1"/>
        </w:rPr>
        <w:t>;</w:t>
      </w:r>
    </w:p>
    <w:p w14:paraId="45BDC8C7">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3</w:t>
      </w:r>
      <w:r>
        <w:rPr>
          <w:rFonts w:hint="eastAsia" w:ascii="宋体" w:hAnsi="宋体" w:eastAsia="宋体" w:cs="宋体"/>
          <w:color w:val="000000"/>
          <w:kern w:val="2"/>
          <w:sz w:val="21"/>
          <w:szCs w:val="21"/>
          <w:lang w:val="en-US" w:eastAsia="zh-CN" w:bidi="ar"/>
          <w:woUserID w:val="1"/>
        </w:rPr>
        <w:t>）电动机</w:t>
      </w:r>
      <w:r>
        <w:rPr>
          <w:rFonts w:hint="default" w:ascii="Calibri" w:hAnsi="Calibri" w:eastAsia="宋体" w:cs="Calibri"/>
          <w:color w:val="000000"/>
          <w:kern w:val="2"/>
          <w:sz w:val="21"/>
          <w:szCs w:val="21"/>
          <w:lang w:val="en-US" w:eastAsia="zh-CN" w:bidi="ar"/>
          <w:woUserID w:val="1"/>
        </w:rPr>
        <w:t>380V</w:t>
      </w: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Calibri"/>
          <w:color w:val="000000"/>
          <w:kern w:val="2"/>
          <w:sz w:val="21"/>
          <w:szCs w:val="21"/>
          <w:lang w:val="en-US" w:eastAsia="zh-CN" w:bidi="ar"/>
          <w:woUserID w:val="1"/>
        </w:rPr>
        <w:t>50Hz</w:t>
      </w:r>
      <w:r>
        <w:rPr>
          <w:rFonts w:hint="eastAsia" w:ascii="宋体" w:hAnsi="宋体" w:eastAsia="宋体" w:cs="宋体"/>
          <w:color w:val="000000"/>
          <w:kern w:val="2"/>
          <w:sz w:val="21"/>
          <w:szCs w:val="21"/>
          <w:lang w:val="en-US" w:eastAsia="zh-CN" w:bidi="ar"/>
          <w:woUserID w:val="1"/>
        </w:rPr>
        <w:t>。</w:t>
      </w:r>
    </w:p>
    <w:p w14:paraId="0F40A2D5">
      <w:pPr>
        <w:keepNext w:val="0"/>
        <w:keepLines w:val="0"/>
        <w:widowControl w:val="0"/>
        <w:suppressLineNumbers w:val="0"/>
        <w:spacing w:before="0" w:beforeAutospacing="0" w:after="0" w:afterAutospacing="0" w:line="360" w:lineRule="auto"/>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5.1.3</w:t>
      </w:r>
      <w:r>
        <w:rPr>
          <w:rFonts w:hint="default" w:ascii="Calibri" w:hAnsi="Calibri" w:eastAsia="宋体" w:cs="Times New Roman"/>
          <w:color w:val="000000"/>
          <w:kern w:val="2"/>
          <w:sz w:val="21"/>
          <w:szCs w:val="21"/>
          <w:lang w:val="en-US" w:eastAsia="zh-CN" w:bidi="ar"/>
          <w:woUserID w:val="1"/>
        </w:rPr>
        <w:t>.4</w:t>
      </w:r>
      <w:r>
        <w:rPr>
          <w:rFonts w:hint="eastAsia" w:ascii="宋体" w:hAnsi="宋体" w:eastAsia="宋体" w:cs="宋体"/>
          <w:color w:val="000000"/>
          <w:kern w:val="2"/>
          <w:sz w:val="21"/>
          <w:szCs w:val="21"/>
          <w:lang w:val="en-US" w:eastAsia="zh-CN" w:bidi="ar"/>
          <w:woUserID w:val="1"/>
        </w:rPr>
        <w:t>电气技术要点</w:t>
      </w:r>
    </w:p>
    <w:p w14:paraId="284E51E5">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1</w:t>
      </w:r>
      <w:r>
        <w:rPr>
          <w:rFonts w:hint="eastAsia" w:ascii="宋体" w:hAnsi="宋体" w:eastAsia="宋体" w:cs="宋体"/>
          <w:color w:val="000000"/>
          <w:kern w:val="2"/>
          <w:sz w:val="21"/>
          <w:szCs w:val="21"/>
          <w:lang w:val="en-US" w:eastAsia="zh-CN" w:bidi="ar"/>
          <w:woUserID w:val="1"/>
        </w:rPr>
        <w:t>）每套采样机配备独立的</w:t>
      </w:r>
      <w:r>
        <w:rPr>
          <w:rFonts w:hint="default" w:ascii="Calibri" w:hAnsi="Calibri" w:eastAsia="宋体" w:cs="Calibri"/>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控制系统。</w:t>
      </w:r>
      <w:r>
        <w:rPr>
          <w:rFonts w:hint="default" w:ascii="Calibri" w:hAnsi="Calibri" w:eastAsia="宋体" w:cs="Calibri"/>
          <w:color w:val="000000"/>
          <w:kern w:val="2"/>
          <w:sz w:val="21"/>
          <w:szCs w:val="21"/>
          <w:lang w:val="en-US" w:eastAsia="zh-CN" w:bidi="ar"/>
          <w:woUserID w:val="1"/>
        </w:rPr>
        <w:t>PLC</w:t>
      </w:r>
      <w:r>
        <w:rPr>
          <w:rFonts w:hint="eastAsia" w:ascii="宋体" w:hAnsi="宋体" w:eastAsia="宋体" w:cs="宋体"/>
          <w:color w:val="000000"/>
          <w:kern w:val="2"/>
          <w:sz w:val="21"/>
          <w:szCs w:val="21"/>
          <w:lang w:val="en-US" w:eastAsia="zh-CN" w:bidi="ar"/>
          <w:woUserID w:val="1"/>
        </w:rPr>
        <w:t>存储器容量留有</w:t>
      </w:r>
      <w:r>
        <w:rPr>
          <w:rFonts w:hint="default" w:ascii="Calibri" w:hAnsi="Calibri" w:eastAsia="宋体" w:cs="Calibri"/>
          <w:color w:val="000000"/>
          <w:kern w:val="2"/>
          <w:sz w:val="21"/>
          <w:szCs w:val="21"/>
          <w:lang w:val="en-US" w:eastAsia="zh-CN" w:bidi="ar"/>
          <w:woUserID w:val="1"/>
        </w:rPr>
        <w:t>30%</w:t>
      </w:r>
      <w:r>
        <w:rPr>
          <w:rFonts w:hint="eastAsia" w:ascii="宋体" w:hAnsi="宋体" w:eastAsia="宋体" w:cs="宋体"/>
          <w:color w:val="000000"/>
          <w:kern w:val="2"/>
          <w:sz w:val="21"/>
          <w:szCs w:val="21"/>
          <w:lang w:val="en-US" w:eastAsia="zh-CN" w:bidi="ar"/>
          <w:woUserID w:val="1"/>
        </w:rPr>
        <w:t>裕量、</w:t>
      </w:r>
      <w:r>
        <w:rPr>
          <w:rFonts w:hint="default" w:ascii="Calibri" w:hAnsi="Calibri" w:eastAsia="宋体" w:cs="Calibri"/>
          <w:color w:val="000000"/>
          <w:kern w:val="2"/>
          <w:sz w:val="21"/>
          <w:szCs w:val="21"/>
          <w:lang w:val="en-US" w:eastAsia="zh-CN" w:bidi="ar"/>
          <w:woUserID w:val="1"/>
        </w:rPr>
        <w:t>I/O</w:t>
      </w:r>
      <w:r>
        <w:rPr>
          <w:rFonts w:hint="eastAsia" w:ascii="宋体" w:hAnsi="宋体" w:eastAsia="宋体" w:cs="宋体"/>
          <w:color w:val="000000"/>
          <w:kern w:val="2"/>
          <w:sz w:val="21"/>
          <w:szCs w:val="21"/>
          <w:lang w:val="en-US" w:eastAsia="zh-CN" w:bidi="ar"/>
          <w:woUserID w:val="1"/>
        </w:rPr>
        <w:t>点留有</w:t>
      </w:r>
      <w:r>
        <w:rPr>
          <w:rFonts w:hint="default" w:ascii="Calibri" w:hAnsi="Calibri" w:eastAsia="宋体" w:cs="Calibri"/>
          <w:color w:val="000000"/>
          <w:kern w:val="2"/>
          <w:sz w:val="21"/>
          <w:szCs w:val="21"/>
          <w:lang w:val="en-US" w:eastAsia="zh-CN" w:bidi="ar"/>
          <w:woUserID w:val="1"/>
        </w:rPr>
        <w:t>20%</w:t>
      </w:r>
      <w:r>
        <w:rPr>
          <w:rFonts w:hint="eastAsia" w:ascii="宋体" w:hAnsi="宋体" w:eastAsia="宋体" w:cs="宋体"/>
          <w:color w:val="000000"/>
          <w:kern w:val="2"/>
          <w:sz w:val="21"/>
          <w:szCs w:val="21"/>
          <w:lang w:val="en-US" w:eastAsia="zh-CN" w:bidi="ar"/>
          <w:woUserID w:val="1"/>
        </w:rPr>
        <w:t>余量。</w:t>
      </w:r>
    </w:p>
    <w:p w14:paraId="74908384">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2</w:t>
      </w:r>
      <w:r>
        <w:rPr>
          <w:rFonts w:hint="eastAsia" w:ascii="宋体" w:hAnsi="宋体" w:eastAsia="宋体" w:cs="宋体"/>
          <w:color w:val="000000"/>
          <w:kern w:val="2"/>
          <w:sz w:val="21"/>
          <w:szCs w:val="21"/>
          <w:lang w:val="en-US" w:eastAsia="zh-CN" w:bidi="ar"/>
          <w:woUserID w:val="1"/>
        </w:rPr>
        <w:t>）采用封闭电缆桥架和穿管敷设电缆，电缆桥架选用厚度不小于</w:t>
      </w:r>
      <w:r>
        <w:rPr>
          <w:rFonts w:hint="default" w:ascii="Calibri" w:hAnsi="Calibri" w:eastAsia="宋体" w:cs="Calibri"/>
          <w:color w:val="000000"/>
          <w:kern w:val="2"/>
          <w:sz w:val="21"/>
          <w:szCs w:val="21"/>
          <w:lang w:val="en-US" w:eastAsia="zh-CN" w:bidi="ar"/>
          <w:woUserID w:val="1"/>
        </w:rPr>
        <w:t>2.5mm</w:t>
      </w:r>
      <w:r>
        <w:rPr>
          <w:rFonts w:hint="eastAsia" w:ascii="宋体" w:hAnsi="宋体" w:eastAsia="宋体" w:cs="宋体"/>
          <w:color w:val="000000"/>
          <w:kern w:val="2"/>
          <w:sz w:val="21"/>
          <w:szCs w:val="21"/>
          <w:lang w:val="en-US" w:eastAsia="zh-CN" w:bidi="ar"/>
          <w:woUserID w:val="1"/>
        </w:rPr>
        <w:t>的热镀锌材质。控制信号电缆和动力电缆分管，分层敷设。</w:t>
      </w:r>
    </w:p>
    <w:p w14:paraId="50B75FFE">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3</w:t>
      </w:r>
      <w:r>
        <w:rPr>
          <w:rFonts w:hint="eastAsia" w:ascii="宋体" w:hAnsi="宋体" w:eastAsia="宋体" w:cs="宋体"/>
          <w:color w:val="000000"/>
          <w:kern w:val="2"/>
          <w:sz w:val="21"/>
          <w:szCs w:val="21"/>
          <w:lang w:val="en-US" w:eastAsia="zh-CN" w:bidi="ar"/>
          <w:woUserID w:val="1"/>
        </w:rPr>
        <w:t>）接入设备所有线缆不能裸露，应采用金属套线软管保护，金属套线软管两端应套接金属软管接头。</w:t>
      </w:r>
    </w:p>
    <w:p w14:paraId="52A0EFBF">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4</w:t>
      </w:r>
      <w:r>
        <w:rPr>
          <w:rFonts w:hint="eastAsia" w:ascii="宋体" w:hAnsi="宋体" w:eastAsia="宋体" w:cs="宋体"/>
          <w:color w:val="000000"/>
          <w:kern w:val="2"/>
          <w:sz w:val="21"/>
          <w:szCs w:val="21"/>
          <w:lang w:val="en-US" w:eastAsia="zh-CN" w:bidi="ar"/>
          <w:woUserID w:val="1"/>
        </w:rPr>
        <w:t>）所有的金属结构、电机外壳都需有效接地，并分清电源地、逻辑地、屏蔽地等。</w:t>
      </w:r>
    </w:p>
    <w:p w14:paraId="13FCB1A0">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5</w:t>
      </w:r>
      <w:r>
        <w:rPr>
          <w:rFonts w:hint="eastAsia" w:ascii="宋体" w:hAnsi="宋体" w:eastAsia="宋体" w:cs="宋体"/>
          <w:color w:val="000000"/>
          <w:kern w:val="2"/>
          <w:sz w:val="21"/>
          <w:szCs w:val="21"/>
          <w:lang w:val="en-US" w:eastAsia="zh-CN" w:bidi="ar"/>
          <w:woUserID w:val="1"/>
        </w:rPr>
        <w:t>）电缆进入线架，接线箱，配电柜等时，在进口处用防火泥封堵。</w:t>
      </w:r>
    </w:p>
    <w:p w14:paraId="16654503">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6</w:t>
      </w:r>
      <w:r>
        <w:rPr>
          <w:rFonts w:hint="eastAsia" w:ascii="宋体" w:hAnsi="宋体" w:eastAsia="宋体" w:cs="宋体"/>
          <w:color w:val="000000"/>
          <w:kern w:val="2"/>
          <w:sz w:val="21"/>
          <w:szCs w:val="21"/>
          <w:lang w:val="en-US" w:eastAsia="zh-CN" w:bidi="ar"/>
          <w:woUserID w:val="1"/>
        </w:rPr>
        <w:t>）每根线缆两端均应挂标志牌，注明电缆线路设计编号、电缆型号、规格及始点，电缆头采用相对编号。所有的接线端子都有正式的机打编号，电气元器件有正式名称和编号。</w:t>
      </w:r>
    </w:p>
    <w:p w14:paraId="50A4B1B9">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w:t>
      </w:r>
      <w:r>
        <w:rPr>
          <w:rFonts w:hint="default" w:ascii="Calibri" w:hAnsi="Calibri" w:eastAsia="宋体" w:cs="Times New Roman"/>
          <w:color w:val="000000"/>
          <w:kern w:val="2"/>
          <w:sz w:val="21"/>
          <w:szCs w:val="21"/>
          <w:lang w:val="en-US" w:eastAsia="zh-CN" w:bidi="ar"/>
          <w:woUserID w:val="1"/>
        </w:rPr>
        <w:t>7</w:t>
      </w:r>
      <w:r>
        <w:rPr>
          <w:rFonts w:hint="eastAsia" w:ascii="宋体" w:hAnsi="宋体" w:eastAsia="宋体" w:cs="宋体"/>
          <w:color w:val="000000"/>
          <w:kern w:val="2"/>
          <w:sz w:val="21"/>
          <w:szCs w:val="21"/>
          <w:lang w:val="en-US" w:eastAsia="zh-CN" w:bidi="ar"/>
          <w:woUserID w:val="1"/>
        </w:rPr>
        <w:t>）电控柜内面板粘贴控制原理图和接线图，所有图纸应塑膜封装，防止玷污。</w:t>
      </w:r>
    </w:p>
    <w:p w14:paraId="621BDBA6">
      <w:pPr>
        <w:keepNext w:val="0"/>
        <w:keepLines w:val="0"/>
        <w:widowControl w:val="0"/>
        <w:suppressLineNumbers w:val="0"/>
        <w:spacing w:before="0" w:beforeAutospacing="0" w:after="0" w:afterAutospacing="0" w:line="360" w:lineRule="auto"/>
        <w:ind w:left="0" w:right="0" w:firstLine="0" w:firstLineChars="0"/>
        <w:jc w:val="both"/>
        <w:outlineLvl w:val="3"/>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5.1.4</w:t>
      </w:r>
      <w:r>
        <w:rPr>
          <w:rFonts w:hint="default" w:ascii="Calibri" w:hAnsi="Calibri" w:eastAsia="宋体" w:cs="Times New Roman"/>
          <w:color w:val="000000"/>
          <w:kern w:val="2"/>
          <w:sz w:val="21"/>
          <w:szCs w:val="21"/>
          <w:lang w:val="en-US" w:eastAsia="zh-CN" w:bidi="ar"/>
          <w:woUserID w:val="1"/>
        </w:rPr>
        <w:t xml:space="preserve"> </w:t>
      </w:r>
      <w:r>
        <w:rPr>
          <w:rFonts w:hint="eastAsia" w:ascii="宋体" w:hAnsi="宋体" w:eastAsia="宋体" w:cs="宋体"/>
          <w:color w:val="000000"/>
          <w:kern w:val="2"/>
          <w:sz w:val="21"/>
          <w:szCs w:val="21"/>
          <w:lang w:val="en-US" w:eastAsia="zh-CN" w:bidi="ar"/>
          <w:woUserID w:val="1"/>
        </w:rPr>
        <w:t>设备规范及技术参数</w:t>
      </w:r>
    </w:p>
    <w:p w14:paraId="3691EB7C">
      <w:pPr>
        <w:keepNext w:val="0"/>
        <w:keepLines w:val="0"/>
        <w:widowControl w:val="0"/>
        <w:suppressLineNumbers w:val="0"/>
        <w:spacing w:before="0" w:beforeAutospacing="0" w:after="0" w:afterAutospacing="0" w:line="360" w:lineRule="auto"/>
        <w:ind w:left="0" w:right="0" w:firstLine="48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响应人报价时应提供如下的技术数据和资料，响应人应保证其提供的技术数据和资料的准确性，以及这些技术数据和资料与采购人所规定的要求相一致。</w:t>
      </w:r>
    </w:p>
    <w:p w14:paraId="03F4ECF9">
      <w:pPr>
        <w:keepNext w:val="0"/>
        <w:keepLines w:val="0"/>
        <w:widowControl w:val="0"/>
        <w:suppressLineNumbers w:val="0"/>
        <w:spacing w:before="120" w:beforeLines="50" w:beforeAutospacing="0" w:after="120" w:afterLines="50" w:afterAutospacing="0" w:line="360" w:lineRule="auto"/>
        <w:ind w:left="0" w:right="0" w:firstLine="0" w:firstLineChars="0"/>
        <w:jc w:val="center"/>
        <w:rPr>
          <w:rFonts w:hint="eastAsia" w:ascii="Calibri" w:hAnsi="Calibri" w:eastAsia="宋体" w:cs="Times New Roman"/>
          <w:color w:val="000000"/>
          <w:kern w:val="2"/>
          <w:sz w:val="21"/>
          <w:szCs w:val="21"/>
          <w:highlight w:val="yellow"/>
          <w:lang w:eastAsia="zh"/>
          <w:woUserID w:val="1"/>
        </w:rPr>
      </w:pPr>
      <w:r>
        <w:rPr>
          <w:rFonts w:hint="eastAsia" w:ascii="宋体" w:hAnsi="宋体" w:eastAsia="宋体" w:cs="宋体"/>
          <w:color w:val="000000"/>
          <w:kern w:val="2"/>
          <w:sz w:val="21"/>
          <w:szCs w:val="21"/>
          <w:highlight w:val="yellow"/>
          <w:lang w:val="en-US" w:eastAsia="zh-CN" w:bidi="ar"/>
          <w:woUserID w:val="1"/>
        </w:rPr>
        <w:t>表</w:t>
      </w:r>
      <w:r>
        <w:rPr>
          <w:rFonts w:hint="default" w:ascii="Calibri" w:hAnsi="Calibri" w:eastAsia="宋体" w:cs="Calibri"/>
          <w:color w:val="000000"/>
          <w:kern w:val="2"/>
          <w:sz w:val="21"/>
          <w:szCs w:val="21"/>
          <w:highlight w:val="yellow"/>
          <w:lang w:val="en-US" w:eastAsia="zh-CN" w:bidi="ar"/>
          <w:woUserID w:val="1"/>
        </w:rPr>
        <w:t>1</w:t>
      </w:r>
      <w:r>
        <w:rPr>
          <w:rFonts w:hint="default" w:ascii="Calibri" w:hAnsi="Calibri" w:eastAsia="宋体" w:cs="Times New Roman"/>
          <w:color w:val="000000"/>
          <w:kern w:val="2"/>
          <w:sz w:val="21"/>
          <w:szCs w:val="21"/>
          <w:highlight w:val="yellow"/>
          <w:lang w:val="en-US" w:eastAsia="zh-CN" w:bidi="ar"/>
          <w:woUserID w:val="1"/>
        </w:rPr>
        <w:t xml:space="preserve"> </w:t>
      </w:r>
      <w:r>
        <w:rPr>
          <w:rFonts w:hint="eastAsia" w:ascii="宋体" w:hAnsi="宋体" w:eastAsia="宋体" w:cs="宋体"/>
          <w:color w:val="000000"/>
          <w:kern w:val="2"/>
          <w:sz w:val="21"/>
          <w:szCs w:val="21"/>
          <w:highlight w:val="yellow"/>
          <w:lang w:val="en-US" w:eastAsia="zh-CN" w:bidi="ar"/>
          <w:woUserID w:val="1"/>
        </w:rPr>
        <w:t>设备规范及技术参数</w:t>
      </w:r>
      <w:r>
        <w:rPr>
          <w:rFonts w:hint="eastAsia" w:ascii="宋体" w:hAnsi="宋体" w:eastAsia="宋体" w:cs="宋体"/>
          <w:color w:val="000000"/>
          <w:kern w:val="2"/>
          <w:sz w:val="21"/>
          <w:szCs w:val="21"/>
          <w:highlight w:val="yellow"/>
          <w:lang w:val="en-US" w:eastAsia="zh" w:bidi="ar"/>
          <w:woUserID w:val="1"/>
        </w:rPr>
        <w:t>（</w:t>
      </w:r>
      <w:r>
        <w:rPr>
          <w:rFonts w:hint="eastAsia" w:ascii="宋体" w:hAnsi="宋体" w:eastAsia="宋体" w:cs="宋体"/>
          <w:color w:val="000000"/>
          <w:kern w:val="2"/>
          <w:sz w:val="21"/>
          <w:szCs w:val="21"/>
          <w:highlight w:val="yellow"/>
          <w:lang w:val="en-US" w:eastAsia="zh-CN" w:bidi="ar"/>
          <w:woUserID w:val="1"/>
        </w:rPr>
        <w:t>响应人</w:t>
      </w:r>
      <w:r>
        <w:rPr>
          <w:rFonts w:hint="eastAsia" w:ascii="宋体" w:hAnsi="宋体" w:eastAsia="宋体" w:cs="宋体"/>
          <w:color w:val="000000"/>
          <w:kern w:val="2"/>
          <w:sz w:val="21"/>
          <w:szCs w:val="21"/>
          <w:highlight w:val="yellow"/>
          <w:lang w:val="en-US" w:eastAsia="zh" w:bidi="ar"/>
          <w:woUserID w:val="1"/>
        </w:rPr>
        <w:t>负责填写）</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215"/>
        <w:gridCol w:w="2213"/>
        <w:gridCol w:w="2214"/>
        <w:gridCol w:w="2214"/>
      </w:tblGrid>
      <w:tr w14:paraId="1864C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tcBorders>
              <w:top w:val="single" w:color="auto" w:sz="4" w:space="0"/>
              <w:left w:val="single" w:color="auto" w:sz="4" w:space="0"/>
              <w:bottom w:val="single" w:color="auto" w:sz="4" w:space="0"/>
              <w:right w:val="single" w:color="auto" w:sz="4" w:space="0"/>
            </w:tcBorders>
            <w:shd w:val="clear" w:color="auto" w:fill="auto"/>
            <w:vAlign w:val="center"/>
          </w:tcPr>
          <w:p w14:paraId="28E9F47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239A16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项目名称</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2F3434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主要技术参数</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84BF9B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备注</w:t>
            </w:r>
          </w:p>
        </w:tc>
      </w:tr>
      <w:tr w14:paraId="34F08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7C0D651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煤种适应性</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5CD27C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适应煤种标称最大粒度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342869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883B8F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4536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67F9BF0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49CC14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适应温度范围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6535F2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Calibri"/>
                <w:color w:val="000000"/>
                <w:kern w:val="2"/>
                <w:sz w:val="21"/>
                <w:szCs w:val="21"/>
                <w:lang w:val="en-US" w:eastAsia="zh-CN" w:bidi="ar"/>
                <w:woUserID w:val="1"/>
              </w:rPr>
              <w:t>℃</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7A8D99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3432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D7E82CD">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DD0CFC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适应烟煤全水分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9633E8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F41F56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5FDA7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70519BD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大车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803A9D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行走减速电机品牌型号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D8E1E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50B4D1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A511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EA56229">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729B3E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D42EF4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6CC84F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EA1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95CD03F">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2E674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转速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02CD6C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r/min</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E63F20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61EE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D0CAFC8">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49C37A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大车行走有效距离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25FDBC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80660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7097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5EC3E00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小车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330FBE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采样升降减速电机品牌型号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C1ED43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20FD68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4C0D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90B34F6">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68884A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BF7D3D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A005F4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CDA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A318CA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ADA248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转速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84E375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r/min</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90248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56C5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70324A4">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6534FF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升降行程</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848A61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BB9E0E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6E12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4DE2A338">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657B07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行走电机品牌型号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574F7C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C5B638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D87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CD74C2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B9C4FB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9B52FB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A92176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A2C0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3FF0E48">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027008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转速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12B226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r/min</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04D67F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AAB9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BAC75E9">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D02646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小车行走距离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B4EA93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131EDC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FE75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0B796AD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459E87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型式</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34C6B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931EE3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85F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95F2C1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78676A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单点采样时间</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D8779C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s</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2264A65">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9E14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6F340690">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7A12DF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螺旋杆驱动装置型式</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4178D9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C1D3A5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A57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5DCB3FC8">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6A502C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采样头最大离地间隙</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022309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8115A3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19BA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47C39E26">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516B68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采样头直径</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04A95F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4202DA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A77C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FEF597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189040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接料口尺寸</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8E41F3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499878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6C33B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D8E67AB">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3C850C5">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电机品牌</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7CF169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12A608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13A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36C478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EEBCFA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6ACF9F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6CB501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F0A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60162AC5">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023633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电机防护等级</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3CD4D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C2DA31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B457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76D4A72">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556905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单点采样量（采样头单筒采完）</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7FCC1E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kg</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5CAB42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00E1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494188A2">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8855B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子样留样量（破碎、缩分后单点）</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ACBD5C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kg</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1C358B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2469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67B8B705">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皮带机</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4801D1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E4B91F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E7DA2C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B36D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C3CBBF7">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714F2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出力</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44E75E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FD1BCC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15B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09AE99F">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3EEBE8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58E2A8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CA3572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6F18E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D5B7783">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ABD78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D6643D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87165C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F582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457C4ED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CE647C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电机防护等级</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FD9BBF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FAF120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617A7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2C6F169">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89A41B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除铁器品牌</w:t>
            </w:r>
            <w:r>
              <w:rPr>
                <w:rFonts w:hint="default" w:ascii="Calibri" w:hAnsi="Calibri" w:eastAsia="宋体" w:cs="Times New Roman"/>
                <w:color w:val="000000"/>
                <w:kern w:val="2"/>
                <w:sz w:val="21"/>
                <w:szCs w:val="21"/>
                <w:lang w:val="en-US" w:eastAsia="zh-CN" w:bidi="ar"/>
                <w:woUserID w:val="1"/>
              </w:rPr>
              <w:t>/</w:t>
            </w:r>
            <w:r>
              <w:rPr>
                <w:rFonts w:hint="eastAsia" w:ascii="宋体" w:hAnsi="宋体" w:eastAsia="宋体" w:cs="宋体"/>
                <w:color w:val="000000"/>
                <w:kern w:val="2"/>
                <w:sz w:val="21"/>
                <w:szCs w:val="21"/>
                <w:lang w:val="en-US" w:eastAsia="zh-CN" w:bidi="ar"/>
                <w:woUserID w:val="1"/>
              </w:rPr>
              <w:t>除铁能力</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9D906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B9FE74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DC89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3D9C374C">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破碎缩分系统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908CB8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破碎机型号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3CFAF5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F7BD7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1710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F200D2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DA6D6F5">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生产出力</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9267F0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78A8EA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A5F7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3B48471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3F714D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破碎锤材质</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BF11B6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9BDCA4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E519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26FFBA5">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09C94B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破碎筛板材质</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C84C42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9C1547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783E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507911A3">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B1A579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进、出料粒度</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C93649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mm</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91BB85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B3BC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2AA1DFC">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8B199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缩分机型号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425B51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634C4A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545D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FA10A92">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07A70F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总缩分比</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B4EF2B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3ECD34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A000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6878751">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40E69D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制样适应水分</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5489B9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59EE5E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F91E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93E1742">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121730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破碎电机品牌、功率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B6EE98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B1DBAE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2B81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344982DD">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EAD60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缩分电机品牌、功率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E8B7F2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BB1E7D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7468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54892D51">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原煤样封装系统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5D14606">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36B5F37">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B130FE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E192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4787084">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1C8F4D6">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型式</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7BACE7B">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FDA65C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F30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86ECDD7">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A286DBF">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分样桶容积</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4FDD4B2">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EAD606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18AD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6E131DE7">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1540A98">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分样桶个数</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D63DF3B">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6E333A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5296A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0F3570B">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7139A3">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备用桶个数</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75E233B">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A831F1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268F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30F7BE70">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39789BB">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8193CDD">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1472DE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204AA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0E1C525">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0E38BF5">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default" w:ascii="Calibri" w:hAnsi="Calibri" w:eastAsia="宋体" w:cs="Times New Roman"/>
                <w:color w:val="000000"/>
                <w:kern w:val="2"/>
                <w:sz w:val="21"/>
                <w:szCs w:val="21"/>
                <w:lang w:val="en-US" w:eastAsia="zh-CN" w:bidi="ar"/>
                <w:woUserID w:val="1"/>
              </w:rPr>
              <w:t>RFID</w:t>
            </w:r>
            <w:r>
              <w:rPr>
                <w:rFonts w:hint="eastAsia" w:ascii="宋体" w:hAnsi="宋体" w:eastAsia="宋体" w:cs="宋体"/>
                <w:color w:val="000000"/>
                <w:kern w:val="2"/>
                <w:sz w:val="21"/>
                <w:szCs w:val="21"/>
                <w:lang w:val="en-US" w:eastAsia="zh-CN" w:bidi="ar"/>
                <w:woUserID w:val="1"/>
              </w:rPr>
              <w:t>芯片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F2B7594">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612C7E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54612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5853673F">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4D84295">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工作频率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904EDCC">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9407C1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247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F76DD1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21EC16B">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支持协议</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59B2549">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034F99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1CAE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DFCF0A9">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7CC7DE5E">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读写距离</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B5B1B0">
            <w:pPr>
              <w:keepNext w:val="0"/>
              <w:keepLines w:val="0"/>
              <w:widowControl w:val="0"/>
              <w:suppressLineNumbers w:val="0"/>
              <w:spacing w:before="0" w:beforeAutospacing="0" w:after="0" w:afterAutospacing="0"/>
              <w:ind w:left="0" w:right="0" w:firstLine="0" w:firstLineChars="0"/>
              <w:jc w:val="both"/>
              <w:rPr>
                <w:rFonts w:hint="default"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61C5C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32E6E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05F5311F">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余煤处理系统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09D342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332853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571BD14">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06AF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1CF9FED">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38C337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弃料斗容积</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F46454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2A62BB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7DA4F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7DF8B311">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4210B9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电动仓门出力</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7891E2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F80B5A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48B29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14EC943A">
            <w:pPr>
              <w:keepNext w:val="0"/>
              <w:keepLines w:val="0"/>
              <w:suppressLineNumbers w:val="0"/>
              <w:spacing w:before="0" w:beforeAutospacing="0" w:after="0" w:afterAutospacing="0"/>
              <w:ind w:left="0" w:right="0"/>
              <w:rPr>
                <w:rFonts w:hint="default" w:ascii="Times New Roman" w:hAnsi="Times New Roman" w:cs="Times New Roman"/>
                <w:sz w:val="20"/>
                <w:szCs w:val="20"/>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066116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r>
              <w:rPr>
                <w:rFonts w:hint="eastAsia" w:ascii="宋体" w:hAnsi="宋体" w:eastAsia="宋体" w:cs="宋体"/>
                <w:color w:val="000000"/>
                <w:kern w:val="2"/>
                <w:sz w:val="21"/>
                <w:szCs w:val="21"/>
                <w:lang w:val="en-US" w:eastAsia="zh-CN" w:bidi="ar"/>
                <w:woUserID w:val="1"/>
              </w:rPr>
              <w:t>电机品牌、型号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0211F12">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780D3D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woUserID w:val="1"/>
              </w:rPr>
            </w:pPr>
          </w:p>
        </w:tc>
      </w:tr>
      <w:tr w14:paraId="5B1A6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4C7B1237">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bookmarkStart w:id="4" w:name="_GoBack"/>
            <w:r>
              <w:rPr>
                <w:rFonts w:hint="eastAsia" w:ascii="宋体" w:hAnsi="宋体" w:eastAsia="宋体" w:cs="宋体"/>
                <w:color w:val="000000"/>
                <w:kern w:val="2"/>
                <w:sz w:val="21"/>
                <w:szCs w:val="21"/>
                <w:highlight w:val="none"/>
                <w:lang w:val="en-US" w:eastAsia="zh-CN" w:bidi="ar"/>
                <w:woUserID w:val="1"/>
              </w:rPr>
              <w:t>电源系统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8E5A0C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供电形式</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1EC378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0151E79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r>
      <w:tr w14:paraId="1E654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2045858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1E891C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整机功率</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89757C8">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Times New Roman"/>
                <w:color w:val="000000"/>
                <w:kern w:val="2"/>
                <w:sz w:val="21"/>
                <w:szCs w:val="21"/>
                <w:highlight w:val="none"/>
                <w:lang w:val="en-US" w:eastAsia="zh-CN" w:bidi="ar"/>
                <w:woUserID w:val="1"/>
              </w:rPr>
              <w:t>kW</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2CA679">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r>
      <w:tr w14:paraId="6D16B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6F15581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FE4E9B">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主电源电缆型号规格</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9B512C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11A8A39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r>
      <w:tr w14:paraId="4B723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250" w:type="pct"/>
            <w:vMerge w:val="restart"/>
            <w:tcBorders>
              <w:top w:val="nil"/>
              <w:left w:val="single" w:color="auto" w:sz="4" w:space="0"/>
              <w:bottom w:val="single" w:color="auto" w:sz="4" w:space="0"/>
              <w:right w:val="single" w:color="auto" w:sz="4" w:space="0"/>
            </w:tcBorders>
            <w:shd w:val="clear" w:color="auto" w:fill="auto"/>
            <w:vAlign w:val="center"/>
          </w:tcPr>
          <w:p w14:paraId="1CD71463">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电控系统</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6DA7718A">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default" w:ascii="Calibri" w:hAnsi="Calibri" w:eastAsia="宋体" w:cs="Times New Roman"/>
                <w:color w:val="000000"/>
                <w:kern w:val="2"/>
                <w:sz w:val="21"/>
                <w:szCs w:val="21"/>
                <w:highlight w:val="none"/>
                <w:lang w:val="en-US" w:eastAsia="zh-CN" w:bidi="ar"/>
                <w:woUserID w:val="1"/>
              </w:rPr>
              <w:t>PLC</w:t>
            </w:r>
            <w:r>
              <w:rPr>
                <w:rFonts w:hint="eastAsia" w:ascii="宋体" w:hAnsi="宋体" w:eastAsia="宋体" w:cs="宋体"/>
                <w:color w:val="000000"/>
                <w:kern w:val="2"/>
                <w:sz w:val="21"/>
                <w:szCs w:val="21"/>
                <w:highlight w:val="none"/>
                <w:lang w:val="en-US" w:eastAsia="zh-CN" w:bidi="ar"/>
                <w:woUserID w:val="1"/>
              </w:rPr>
              <w:t>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5E8F1DA0">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3C906D7D">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r>
      <w:tr w14:paraId="0D29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0" w:type="pct"/>
            <w:vMerge w:val="continue"/>
            <w:tcBorders>
              <w:top w:val="nil"/>
              <w:left w:val="single" w:color="auto" w:sz="4" w:space="0"/>
              <w:bottom w:val="single" w:color="auto" w:sz="4" w:space="0"/>
              <w:right w:val="single" w:color="auto" w:sz="4" w:space="0"/>
            </w:tcBorders>
            <w:shd w:val="clear" w:color="auto" w:fill="auto"/>
            <w:vAlign w:val="center"/>
          </w:tcPr>
          <w:p w14:paraId="09A324E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4D02CF2E">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工控机型号</w:t>
            </w: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A0BEEA1">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c>
          <w:tcPr>
            <w:tcW w:w="1249" w:type="pct"/>
            <w:tcBorders>
              <w:top w:val="single" w:color="auto" w:sz="4" w:space="0"/>
              <w:left w:val="single" w:color="auto" w:sz="4" w:space="0"/>
              <w:bottom w:val="single" w:color="auto" w:sz="4" w:space="0"/>
              <w:right w:val="single" w:color="auto" w:sz="4" w:space="0"/>
            </w:tcBorders>
            <w:shd w:val="clear" w:color="auto" w:fill="auto"/>
            <w:vAlign w:val="center"/>
          </w:tcPr>
          <w:p w14:paraId="2456A9B6">
            <w:pPr>
              <w:keepNext w:val="0"/>
              <w:keepLines w:val="0"/>
              <w:widowControl w:val="0"/>
              <w:suppressLineNumbers w:val="0"/>
              <w:spacing w:before="0" w:beforeAutospacing="0" w:after="0" w:afterAutospacing="0"/>
              <w:ind w:left="0" w:right="0" w:firstLine="0" w:firstLineChars="0"/>
              <w:jc w:val="both"/>
              <w:rPr>
                <w:rFonts w:hint="eastAsia" w:ascii="Calibri" w:hAnsi="Calibri" w:eastAsia="宋体" w:cs="Times New Roman"/>
                <w:color w:val="000000"/>
                <w:kern w:val="2"/>
                <w:sz w:val="21"/>
                <w:szCs w:val="21"/>
                <w:highlight w:val="none"/>
                <w:woUserID w:val="1"/>
              </w:rPr>
            </w:pPr>
          </w:p>
        </w:tc>
      </w:tr>
    </w:tbl>
    <w:p w14:paraId="762A089A">
      <w:pPr>
        <w:keepNext w:val="0"/>
        <w:keepLines w:val="0"/>
        <w:widowControl w:val="0"/>
        <w:suppressLineNumbers w:val="0"/>
        <w:spacing w:before="120" w:beforeAutospacing="0" w:after="0" w:afterAutospacing="0" w:line="360" w:lineRule="auto"/>
        <w:ind w:left="0" w:right="0"/>
        <w:jc w:val="both"/>
        <w:textAlignment w:val="baseline"/>
        <w:outlineLvl w:val="2"/>
        <w:rPr>
          <w:rFonts w:hint="eastAsia" w:ascii="宋体" w:hAnsi="宋体" w:eastAsia="宋体" w:cs="宋体"/>
          <w:b/>
          <w:bCs/>
          <w:kern w:val="2"/>
          <w:sz w:val="24"/>
          <w:szCs w:val="24"/>
          <w:highlight w:val="none"/>
          <w:vertAlign w:val="baseline"/>
          <w:woUserID w:val="1"/>
        </w:rPr>
      </w:pPr>
      <w:r>
        <w:rPr>
          <w:rFonts w:hint="eastAsia" w:ascii="宋体" w:hAnsi="宋体" w:eastAsia="宋体" w:cs="宋体"/>
          <w:b/>
          <w:bCs/>
          <w:kern w:val="2"/>
          <w:sz w:val="24"/>
          <w:szCs w:val="24"/>
          <w:highlight w:val="none"/>
          <w:vertAlign w:val="baseline"/>
          <w:lang w:val="en-US" w:eastAsia="zh-CN" w:bidi="ar"/>
          <w:woUserID w:val="1"/>
        </w:rPr>
        <w:t>5.2汽车煤智能验收管理系统</w:t>
      </w:r>
    </w:p>
    <w:p w14:paraId="415B6647">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4"/>
          <w:szCs w:val="24"/>
          <w:highlight w:val="none"/>
          <w:woUserID w:val="1"/>
        </w:rPr>
      </w:pPr>
      <w:r>
        <w:rPr>
          <w:rFonts w:hint="eastAsia" w:ascii="宋体" w:hAnsi="宋体" w:eastAsia="宋体" w:cs="宋体"/>
          <w:b/>
          <w:bCs/>
          <w:kern w:val="2"/>
          <w:sz w:val="24"/>
          <w:szCs w:val="24"/>
          <w:highlight w:val="none"/>
          <w:woUserID w:val="1"/>
        </w:rPr>
        <w:t>5.2.1少人值守出入厂管理系统</w:t>
      </w:r>
    </w:p>
    <w:p w14:paraId="58AF21EB">
      <w:pPr>
        <w:keepNext w:val="0"/>
        <w:keepLines w:val="0"/>
        <w:widowControl w:val="0"/>
        <w:numPr>
          <w:ilvl w:val="0"/>
          <w:numId w:val="4"/>
        </w:numPr>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新增煤车的少人值守出入厂管理系统。通过远距离读卡器自动读取车号信息，并与摄像头抓拍车牌进行校验，系统自动调取相应的车辆信息（车牌号、车型、颜色、拉筋位置、车厢与底部高度、司机姓名、电话号码、驾驶证号码、车自重、隶属承运公司等信息），并通过司机在自助一体机上录入运煤信息包含供应商、矿点、煤种等来完成来煤信息的采集。</w:t>
      </w:r>
    </w:p>
    <w:p w14:paraId="76234F37">
      <w:pPr>
        <w:keepNext w:val="0"/>
        <w:keepLines w:val="0"/>
        <w:widowControl w:val="0"/>
        <w:numPr>
          <w:ilvl w:val="0"/>
          <w:numId w:val="4"/>
        </w:numPr>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首次入厂车辆到达入厂处</w:t>
      </w:r>
      <w:r>
        <w:rPr>
          <w:rFonts w:hint="default" w:ascii="Calibri" w:hAnsi="Calibri" w:eastAsia="宋体" w:cs="Calibri"/>
          <w:kern w:val="2"/>
          <w:sz w:val="24"/>
          <w:szCs w:val="24"/>
          <w:highlight w:val="none"/>
          <w:lang w:val="en-US" w:eastAsia="zh-CN" w:bidi="ar"/>
          <w:woUserID w:val="1"/>
        </w:rPr>
        <w:t>,</w:t>
      </w:r>
      <w:r>
        <w:rPr>
          <w:rFonts w:hint="eastAsia" w:ascii="宋体" w:hAnsi="宋体" w:eastAsia="宋体" w:cs="宋体"/>
          <w:kern w:val="2"/>
          <w:sz w:val="24"/>
          <w:szCs w:val="24"/>
          <w:highlight w:val="none"/>
          <w:lang w:val="en-US" w:eastAsia="zh-CN" w:bidi="ar"/>
          <w:woUserID w:val="1"/>
        </w:rPr>
        <w:t>需办理车辆信息注册，将车辆信息录入系统并发放安装固定</w:t>
      </w:r>
      <w:r>
        <w:rPr>
          <w:rFonts w:hint="default" w:ascii="Calibri" w:hAnsi="Calibri" w:eastAsia="宋体" w:cs="Calibri"/>
          <w:kern w:val="2"/>
          <w:sz w:val="24"/>
          <w:szCs w:val="24"/>
          <w:highlight w:val="none"/>
          <w:lang w:val="en-US" w:eastAsia="zh-CN" w:bidi="ar"/>
          <w:woUserID w:val="1"/>
        </w:rPr>
        <w:t>RFID</w:t>
      </w:r>
      <w:r>
        <w:rPr>
          <w:rFonts w:hint="eastAsia" w:ascii="宋体" w:hAnsi="宋体" w:eastAsia="宋体" w:cs="宋体"/>
          <w:kern w:val="2"/>
          <w:sz w:val="24"/>
          <w:szCs w:val="24"/>
          <w:highlight w:val="none"/>
          <w:lang w:val="en-US" w:eastAsia="zh-CN" w:bidi="ar"/>
          <w:woUserID w:val="1"/>
        </w:rPr>
        <w:t>电子标签（车辆信息卡），有效防止车辆自行更换电子标签。车辆信息包含车辆车牌号、车辆长度、车辆宽度、车辆底座高、拉筋位置、空车重量等基础信息录入。此过程需要司机或值班人员在自助一体机上自助录入车辆信息。</w:t>
      </w:r>
    </w:p>
    <w:p w14:paraId="29835B72">
      <w:pPr>
        <w:keepNext w:val="0"/>
        <w:keepLines w:val="0"/>
        <w:widowControl w:val="0"/>
        <w:numPr>
          <w:ilvl w:val="0"/>
          <w:numId w:val="4"/>
        </w:numPr>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非首次入厂车辆到达入厂处，系统通过远距离读卡器自动读取车号信息，并与摄像头抓拍车牌进行校验，验证车牌是否有效，自动调取相应的车辆信息。系统可根据车辆是否在黑名单而拒绝车辆入厂。</w:t>
      </w:r>
    </w:p>
    <w:p w14:paraId="7C362436">
      <w:pPr>
        <w:keepNext w:val="0"/>
        <w:keepLines w:val="0"/>
        <w:widowControl w:val="0"/>
        <w:numPr>
          <w:ilvl w:val="0"/>
          <w:numId w:val="4"/>
        </w:numPr>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为来厂车辆分配手持</w:t>
      </w:r>
      <w:r>
        <w:rPr>
          <w:rFonts w:hint="default" w:ascii="Calibri" w:hAnsi="Calibri" w:eastAsia="宋体" w:cs="Calibri"/>
          <w:kern w:val="2"/>
          <w:sz w:val="24"/>
          <w:szCs w:val="24"/>
          <w:highlight w:val="none"/>
          <w:lang w:val="en-US" w:eastAsia="zh-CN" w:bidi="ar"/>
          <w:woUserID w:val="1"/>
        </w:rPr>
        <w:t>RFID</w:t>
      </w:r>
      <w:r>
        <w:rPr>
          <w:rFonts w:hint="eastAsia" w:ascii="宋体" w:hAnsi="宋体" w:eastAsia="宋体" w:cs="宋体"/>
          <w:kern w:val="2"/>
          <w:sz w:val="24"/>
          <w:szCs w:val="24"/>
          <w:highlight w:val="none"/>
          <w:lang w:val="en-US" w:eastAsia="zh-CN" w:bidi="ar"/>
          <w:woUserID w:val="1"/>
        </w:rPr>
        <w:t>卡（运输卡），进行一车一卡统一管理入厂后的工作流程，在整个工作流程中刷卡操作，实现少人值守。对未注册的运输卡，根据运输单位的运输单据进行运煤信息包含供应商、矿点、煤种等信息录入。</w:t>
      </w:r>
    </w:p>
    <w:p w14:paraId="2C563160">
      <w:pPr>
        <w:keepNext w:val="0"/>
        <w:keepLines w:val="0"/>
        <w:widowControl w:val="0"/>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来煤信息录入：</w:t>
      </w:r>
    </w:p>
    <w:p w14:paraId="4964593B">
      <w:pPr>
        <w:keepNext w:val="0"/>
        <w:keepLines w:val="0"/>
        <w:widowControl w:val="0"/>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default" w:ascii="Calibri" w:hAnsi="Calibri" w:eastAsia="宋体" w:cs="Calibri"/>
          <w:kern w:val="2"/>
          <w:sz w:val="24"/>
          <w:szCs w:val="24"/>
          <w:highlight w:val="none"/>
          <w:lang w:val="en-US" w:eastAsia="zh-CN" w:bidi="ar"/>
          <w:woUserID w:val="1"/>
        </w:rPr>
        <w:t>a</w:t>
      </w:r>
      <w:r>
        <w:rPr>
          <w:rFonts w:hint="eastAsia" w:ascii="宋体" w:hAnsi="宋体" w:eastAsia="宋体" w:cs="宋体"/>
          <w:kern w:val="2"/>
          <w:sz w:val="24"/>
          <w:szCs w:val="24"/>
          <w:highlight w:val="none"/>
          <w:lang w:val="en-US" w:eastAsia="zh-CN" w:bidi="ar"/>
          <w:woUserID w:val="1"/>
        </w:rPr>
        <w:t>）司机自助录入：系统采用</w:t>
      </w:r>
      <w:r>
        <w:rPr>
          <w:rFonts w:hint="default" w:ascii="Calibri" w:hAnsi="Calibri" w:eastAsia="宋体" w:cs="Calibri"/>
          <w:kern w:val="2"/>
          <w:sz w:val="24"/>
          <w:szCs w:val="24"/>
          <w:highlight w:val="none"/>
          <w:lang w:val="en-US" w:eastAsia="zh-CN" w:bidi="ar"/>
          <w:woUserID w:val="1"/>
        </w:rPr>
        <w:t>RFID</w:t>
      </w:r>
      <w:r>
        <w:rPr>
          <w:rFonts w:hint="eastAsia" w:ascii="宋体" w:hAnsi="宋体" w:eastAsia="宋体" w:cs="宋体"/>
          <w:kern w:val="2"/>
          <w:sz w:val="24"/>
          <w:szCs w:val="24"/>
          <w:highlight w:val="none"/>
          <w:lang w:val="en-US" w:eastAsia="zh-CN" w:bidi="ar"/>
          <w:woUserID w:val="1"/>
        </w:rPr>
        <w:t>无线射频技术读取车辆信息卡的编码，自动调取相应的车辆信息，并在触摸屏上显示，司机根据来运输单通过触摸屏选定矿点（运输单位）、煤种信息、输入票重完成运输信息的采集。验证全部通过系统自动开启道闸，并记录进入时间。</w:t>
      </w:r>
    </w:p>
    <w:p w14:paraId="7F3D719F">
      <w:pPr>
        <w:keepNext w:val="0"/>
        <w:keepLines w:val="0"/>
        <w:widowControl w:val="0"/>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default" w:ascii="Calibri" w:hAnsi="Calibri" w:eastAsia="宋体" w:cs="Calibri"/>
          <w:kern w:val="2"/>
          <w:sz w:val="24"/>
          <w:szCs w:val="24"/>
          <w:highlight w:val="none"/>
          <w:lang w:val="en-US" w:eastAsia="zh-CN" w:bidi="ar"/>
          <w:woUserID w:val="1"/>
        </w:rPr>
        <w:t>b</w:t>
      </w:r>
      <w:r>
        <w:rPr>
          <w:rFonts w:hint="eastAsia" w:ascii="宋体" w:hAnsi="宋体" w:eastAsia="宋体" w:cs="宋体"/>
          <w:kern w:val="2"/>
          <w:sz w:val="24"/>
          <w:szCs w:val="24"/>
          <w:highlight w:val="none"/>
          <w:lang w:val="en-US" w:eastAsia="zh-CN" w:bidi="ar"/>
          <w:woUserID w:val="1"/>
        </w:rPr>
        <w:t>）值班人员录入：针对运输来煤车辆变化很大的情况，在门岗设置验票室，车辆到达入厂口，值班员根据运输单录入来煤信息，向司机发放临时射频卡。</w:t>
      </w:r>
    </w:p>
    <w:p w14:paraId="450B2417">
      <w:pPr>
        <w:keepNext w:val="0"/>
        <w:keepLines w:val="0"/>
        <w:widowControl w:val="0"/>
        <w:numPr>
          <w:ilvl w:val="0"/>
          <w:numId w:val="4"/>
        </w:numPr>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汽车出厂时，系统自动识别车牌，系统根据车牌号判断车辆厂内流程完成状况，对已被加入黑名单或未完成所有流程，语音提示不让出厂。</w:t>
      </w:r>
    </w:p>
    <w:p w14:paraId="0546A333">
      <w:pPr>
        <w:keepNext w:val="0"/>
        <w:keepLines w:val="0"/>
        <w:widowControl w:val="0"/>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票据打印机在出厂门岗的情况：车牌识别确认无误自动打印计量票据，出口道闸自动抬起，车辆出厂，系统记录出厂时间，出厂后道闸自动落下。</w:t>
      </w:r>
    </w:p>
    <w:p w14:paraId="29AB1D62">
      <w:pPr>
        <w:keepNext w:val="0"/>
        <w:keepLines w:val="0"/>
        <w:widowControl w:val="0"/>
        <w:suppressLineNumbers w:val="0"/>
        <w:kinsoku w:val="0"/>
        <w:overflowPunct w:val="0"/>
        <w:autoSpaceDE w:val="0"/>
        <w:autoSpaceDN w:val="0"/>
        <w:spacing w:before="0" w:beforeAutospacing="0" w:after="0" w:afterAutospacing="0" w:line="360" w:lineRule="auto"/>
        <w:ind w:left="0" w:right="0" w:firstLine="480" w:firstLineChars="200"/>
        <w:jc w:val="both"/>
        <w:rPr>
          <w:rFonts w:hint="eastAsia" w:ascii="Calibri" w:hAnsi="Calibri"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对无法识别车牌号或列入黑名单车辆、入厂插队车辆与未完成工作流程的出厂车辆，不能开启挡车器。</w:t>
      </w:r>
    </w:p>
    <w:p w14:paraId="11A157B2">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4"/>
          <w:szCs w:val="24"/>
          <w:highlight w:val="none"/>
          <w:woUserID w:val="1"/>
        </w:rPr>
      </w:pPr>
      <w:r>
        <w:rPr>
          <w:rFonts w:hint="eastAsia" w:ascii="宋体" w:hAnsi="宋体" w:eastAsia="宋体" w:cs="宋体"/>
          <w:b/>
          <w:bCs/>
          <w:kern w:val="2"/>
          <w:sz w:val="24"/>
          <w:szCs w:val="24"/>
          <w:highlight w:val="none"/>
          <w:woUserID w:val="1"/>
        </w:rPr>
        <w:t>5.2.2汽车煤少人值守采制样系统</w:t>
      </w:r>
    </w:p>
    <w:p w14:paraId="727F4993">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1</w:t>
      </w:r>
      <w:r>
        <w:rPr>
          <w:rFonts w:hint="eastAsia" w:ascii="宋体" w:hAnsi="宋体" w:eastAsia="宋体" w:cs="宋体"/>
          <w:kern w:val="2"/>
          <w:sz w:val="24"/>
          <w:szCs w:val="24"/>
          <w:highlight w:val="none"/>
          <w:vertAlign w:val="baseline"/>
          <w:lang w:val="en-US" w:eastAsia="zh-CN" w:bidi="ar"/>
          <w:woUserID w:val="1"/>
        </w:rPr>
        <w:t>）采样机接收来自燃料入厂验收管控系统自动制定的采样方案（车辆信息、采样点数、集样桶号等）后，自动执行，从而实现无人干预自动采样。</w:t>
      </w:r>
    </w:p>
    <w:p w14:paraId="3CE4B605">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2</w:t>
      </w:r>
      <w:r>
        <w:rPr>
          <w:rFonts w:hint="eastAsia" w:ascii="宋体" w:hAnsi="宋体" w:eastAsia="宋体" w:cs="宋体"/>
          <w:kern w:val="2"/>
          <w:sz w:val="24"/>
          <w:szCs w:val="24"/>
          <w:highlight w:val="none"/>
          <w:vertAlign w:val="baseline"/>
          <w:lang w:val="en-US" w:eastAsia="zh-CN" w:bidi="ar"/>
          <w:woUserID w:val="1"/>
        </w:rPr>
        <w:t>）远距离读卡器自动读取车牌信息，并与摄像头抓拍车牌进行校验，自动调取相应的车辆信息，使用道闸、语音技术、控制车辆在整个工作环节的操作流程。通过射频卡提供给采样系统物料信息，采样系统依据车型车辆尺寸、提供的物料信息产生随机采样点位数据并实施采样。采样方案按照国标关于采样的规定建立数学模型，针对通过验证的每辆车的车辆信息，产生专用的采样子集数和采样位置信息，保证采样过程的随机性、公正性和过程的可追溯性、少人值守系统软件应有供应商评价体系。</w:t>
      </w:r>
    </w:p>
    <w:p w14:paraId="4A2F877F">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3</w:t>
      </w:r>
      <w:r>
        <w:rPr>
          <w:rFonts w:hint="eastAsia" w:ascii="宋体" w:hAnsi="宋体" w:eastAsia="宋体" w:cs="宋体"/>
          <w:kern w:val="2"/>
          <w:sz w:val="24"/>
          <w:szCs w:val="24"/>
          <w:highlight w:val="none"/>
          <w:vertAlign w:val="baseline"/>
          <w:lang w:val="en-US" w:eastAsia="zh-CN" w:bidi="ar"/>
          <w:woUserID w:val="1"/>
        </w:rPr>
        <w:t>）、系统通过远距离读卡器自动获取车辆信息，对车辆信息进行匹配，自动升起道闸。车辆进入采样工位后，车厢定位系统判断车辆是否到达指定位置，若车辆未到达指定区域等异常状况，系统报警提示。</w:t>
      </w:r>
    </w:p>
    <w:p w14:paraId="031967CD">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4</w:t>
      </w:r>
      <w:r>
        <w:rPr>
          <w:rFonts w:hint="eastAsia" w:ascii="宋体" w:hAnsi="宋体" w:eastAsia="宋体" w:cs="宋体"/>
          <w:kern w:val="2"/>
          <w:sz w:val="24"/>
          <w:szCs w:val="24"/>
          <w:highlight w:val="none"/>
          <w:vertAlign w:val="baseline"/>
          <w:lang w:val="en-US" w:eastAsia="zh-CN" w:bidi="ar"/>
          <w:woUserID w:val="1"/>
        </w:rPr>
        <w:t>）、采样机按照管控平台给定的采样方案及车辆（长宽等信息）信息进行布点。车帮等边框区域要留出</w:t>
      </w:r>
      <w:r>
        <w:rPr>
          <w:rFonts w:hint="default" w:ascii="宋体" w:hAnsi="宋体" w:eastAsia="宋体" w:cs="宋体"/>
          <w:kern w:val="2"/>
          <w:sz w:val="24"/>
          <w:szCs w:val="24"/>
          <w:highlight w:val="none"/>
          <w:vertAlign w:val="baseline"/>
          <w:lang w:val="en-US" w:eastAsia="zh-CN" w:bidi="ar"/>
          <w:woUserID w:val="1"/>
        </w:rPr>
        <w:t>100mm</w:t>
      </w:r>
      <w:r>
        <w:rPr>
          <w:rFonts w:hint="eastAsia" w:ascii="宋体" w:hAnsi="宋体" w:eastAsia="宋体" w:cs="宋体"/>
          <w:kern w:val="2"/>
          <w:sz w:val="24"/>
          <w:szCs w:val="24"/>
          <w:highlight w:val="none"/>
          <w:vertAlign w:val="baseline"/>
          <w:lang w:val="en-US" w:eastAsia="zh-CN" w:bidi="ar"/>
          <w:woUserID w:val="1"/>
        </w:rPr>
        <w:t>安全区域，防止采到车帮和拉筋。采用超声波定位实现全车随机采样、语音播报系统可通过系统语音引导司机进行操作、</w:t>
      </w:r>
      <w:r>
        <w:rPr>
          <w:rFonts w:hint="default" w:ascii="宋体" w:hAnsi="宋体" w:eastAsia="宋体" w:cs="宋体"/>
          <w:kern w:val="2"/>
          <w:sz w:val="24"/>
          <w:szCs w:val="24"/>
          <w:highlight w:val="none"/>
          <w:vertAlign w:val="baseline"/>
          <w:lang w:val="en-US" w:eastAsia="zh-CN" w:bidi="ar"/>
          <w:woUserID w:val="1"/>
        </w:rPr>
        <w:t>XYZ</w:t>
      </w:r>
      <w:r>
        <w:rPr>
          <w:rFonts w:hint="eastAsia" w:ascii="宋体" w:hAnsi="宋体" w:eastAsia="宋体" w:cs="宋体"/>
          <w:kern w:val="2"/>
          <w:sz w:val="24"/>
          <w:szCs w:val="24"/>
          <w:highlight w:val="none"/>
          <w:vertAlign w:val="baseline"/>
          <w:lang w:val="en-US" w:eastAsia="zh-CN" w:bidi="ar"/>
          <w:woUserID w:val="1"/>
        </w:rPr>
        <w:t>三轴采用编码器记数及称重传感器、采用数据库对采样记录、故障记录进行存储、新增采样高清抓拍及采样散点图系统，车厢定位按照设定的采样点数，新增煤样中间缓存装置，采完子样后进行破碎缩分，随机生成采样点、随机点分前、中、后三区，三点取样时每区只取一点，不在同一区多次取点。</w:t>
      </w:r>
    </w:p>
    <w:p w14:paraId="135248DA">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w:t>
      </w:r>
      <w:r>
        <w:rPr>
          <w:rFonts w:hint="eastAsia" w:ascii="宋体" w:hAnsi="宋体" w:eastAsia="宋体" w:cs="宋体"/>
          <w:kern w:val="2"/>
          <w:sz w:val="24"/>
          <w:szCs w:val="24"/>
          <w:highlight w:val="none"/>
          <w:vertAlign w:val="baseline"/>
          <w:lang w:val="en-US" w:eastAsia="zh-CN" w:bidi="ar"/>
          <w:woUserID w:val="1"/>
        </w:rPr>
        <w:t>）、车辆进入采样工位前，系统根据读取的车辆信息进行流程判断，如发现异常，系统报警提示，不予采样。车辆停稳熄火，司机下车开启采样按钮，采样机根据读卡信息自动采样。</w:t>
      </w:r>
    </w:p>
    <w:p w14:paraId="5B7EFEB1">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6</w:t>
      </w:r>
      <w:r>
        <w:rPr>
          <w:rFonts w:hint="eastAsia" w:ascii="宋体" w:hAnsi="宋体" w:eastAsia="宋体" w:cs="宋体"/>
          <w:kern w:val="2"/>
          <w:sz w:val="24"/>
          <w:szCs w:val="24"/>
          <w:highlight w:val="none"/>
          <w:vertAlign w:val="baseline"/>
          <w:lang w:val="en-US" w:eastAsia="zh-CN" w:bidi="ar"/>
          <w:woUserID w:val="1"/>
        </w:rPr>
        <w:t>）、系统根据车辆信息自动生成采样方案（即根据车辆尺寸及载重确定采样个数、并随机布点），该方案可由授权的管理者修改，人工修改必须留下痕迹、并注明原因。汽车到达采样位置（自动道闸挡住）后进行采样。采样方案按照国标关于采样的规定建立数学模型，通过验证的每台车辆信息，产生专用的采样子集数和采样位置信息，保证采样过程的随机性、公正性和过程的可追溯性。系统自动将采样方案传输给采样机，待采样完成，系统又从采样机上直接获取采样数据，包括采样流水号、采样时间、采样点数、采样位置、对应车号、采样质量等信息。</w:t>
      </w:r>
    </w:p>
    <w:p w14:paraId="58F807EF">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7</w:t>
      </w:r>
      <w:r>
        <w:rPr>
          <w:rFonts w:hint="eastAsia" w:ascii="宋体" w:hAnsi="宋体" w:eastAsia="宋体" w:cs="宋体"/>
          <w:kern w:val="2"/>
          <w:sz w:val="24"/>
          <w:szCs w:val="24"/>
          <w:highlight w:val="none"/>
          <w:vertAlign w:val="baseline"/>
          <w:lang w:val="en-US" w:eastAsia="zh-CN" w:bidi="ar"/>
          <w:woUserID w:val="1"/>
        </w:rPr>
        <w:t>）、系统通过一次编码及分配集样罐、使得集样罐与供煤单位对应，集样罐到达设定的满量后再次自动分配集样罐。</w:t>
      </w:r>
    </w:p>
    <w:p w14:paraId="26D1DC6A">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8</w:t>
      </w:r>
      <w:r>
        <w:rPr>
          <w:rFonts w:hint="eastAsia" w:ascii="宋体" w:hAnsi="宋体" w:eastAsia="宋体" w:cs="宋体"/>
          <w:kern w:val="2"/>
          <w:sz w:val="24"/>
          <w:szCs w:val="24"/>
          <w:highlight w:val="none"/>
          <w:vertAlign w:val="baseline"/>
          <w:lang w:val="en-US" w:eastAsia="zh-CN" w:bidi="ar"/>
          <w:woUserID w:val="1"/>
        </w:rPr>
        <w:t>）、系统需全程记录每天的供煤单位、随机分配的一次编码、机采集样罐号的对应关系，即：供煤单位名称、一次编码分配情况及时间、每次机采时间、采样方案、每个子样入哪个集样罐、每个子样的质量，系统提示分区合样，并在屏蔽供应商的情况下给出总样加密编码。</w:t>
      </w:r>
    </w:p>
    <w:p w14:paraId="1EA028CD">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1"/>
          <w:szCs w:val="21"/>
          <w:highlight w:val="none"/>
          <w:woUserID w:val="1"/>
        </w:rPr>
      </w:pPr>
      <w:r>
        <w:rPr>
          <w:rFonts w:hint="eastAsia" w:ascii="宋体" w:hAnsi="宋体" w:eastAsia="宋体" w:cs="宋体"/>
          <w:b/>
          <w:bCs/>
          <w:kern w:val="2"/>
          <w:sz w:val="21"/>
          <w:szCs w:val="21"/>
          <w:highlight w:val="none"/>
          <w:woUserID w:val="1"/>
        </w:rPr>
        <w:t>5.2.3新增少人汽车衡计量系统</w:t>
      </w:r>
    </w:p>
    <w:p w14:paraId="00D65AF9">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1</w:t>
      </w:r>
      <w:r>
        <w:rPr>
          <w:rFonts w:hint="eastAsia" w:ascii="宋体" w:hAnsi="宋体" w:eastAsia="宋体" w:cs="宋体"/>
          <w:kern w:val="2"/>
          <w:sz w:val="24"/>
          <w:szCs w:val="24"/>
          <w:highlight w:val="none"/>
          <w:vertAlign w:val="baseline"/>
          <w:lang w:val="en-US" w:eastAsia="zh-CN" w:bidi="ar"/>
          <w:woUserID w:val="1"/>
        </w:rPr>
        <w:t>）、煤车车辆的重车、空车进入汽车衡前，通过卡自动识别车牌号码，并与摄像头抓拍车牌进行校验，通过后允许计量，当确认拦车杆故障时，允许管理员设置手动放行。</w:t>
      </w:r>
    </w:p>
    <w:p w14:paraId="7D5253B9">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2</w:t>
      </w:r>
      <w:r>
        <w:rPr>
          <w:rFonts w:hint="eastAsia" w:ascii="宋体" w:hAnsi="宋体" w:eastAsia="宋体" w:cs="宋体"/>
          <w:kern w:val="2"/>
          <w:sz w:val="24"/>
          <w:szCs w:val="24"/>
          <w:highlight w:val="none"/>
          <w:vertAlign w:val="baseline"/>
          <w:lang w:val="en-US" w:eastAsia="zh-CN" w:bidi="ar"/>
          <w:woUserID w:val="1"/>
        </w:rPr>
        <w:t>）、车辆进入计量工位后，红外检测器判断车辆是否到达指定位置，确认后后杆落下，若出现车辆未到达指定区域等异常状况，系统报警提示。</w:t>
      </w:r>
    </w:p>
    <w:p w14:paraId="65269458">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3</w:t>
      </w:r>
      <w:r>
        <w:rPr>
          <w:rFonts w:hint="eastAsia" w:ascii="宋体" w:hAnsi="宋体" w:eastAsia="宋体" w:cs="宋体"/>
          <w:kern w:val="2"/>
          <w:sz w:val="24"/>
          <w:szCs w:val="24"/>
          <w:highlight w:val="none"/>
          <w:vertAlign w:val="baseline"/>
          <w:lang w:val="en-US" w:eastAsia="zh-CN" w:bidi="ar"/>
          <w:woUserID w:val="1"/>
        </w:rPr>
        <w:t>）、若检测无异常，车辆正确上磅，系统设置红灯。司机熄火，刷卡后启动地磅开始称重，再等待地磅数据稳定几秒后系统读取所称量的重量，计量数据不能手工录入、不能人工删改，并通过大屏幕显示器显示称重数据。称重完成后，称重信息存入中心数据库。</w:t>
      </w:r>
    </w:p>
    <w:p w14:paraId="5496551C">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4</w:t>
      </w:r>
      <w:r>
        <w:rPr>
          <w:rFonts w:hint="eastAsia" w:ascii="宋体" w:hAnsi="宋体" w:eastAsia="宋体" w:cs="宋体"/>
          <w:kern w:val="2"/>
          <w:sz w:val="24"/>
          <w:szCs w:val="24"/>
          <w:highlight w:val="none"/>
          <w:vertAlign w:val="baseline"/>
          <w:lang w:val="en-US" w:eastAsia="zh-CN" w:bidi="ar"/>
          <w:woUserID w:val="1"/>
        </w:rPr>
        <w:t>）、计量完成后前杆抬起通过语音提示，</w:t>
      </w:r>
      <w:r>
        <w:rPr>
          <w:rFonts w:hint="default" w:ascii="宋体" w:hAnsi="宋体" w:eastAsia="宋体" w:cs="宋体"/>
          <w:kern w:val="2"/>
          <w:sz w:val="24"/>
          <w:szCs w:val="24"/>
          <w:highlight w:val="none"/>
          <w:vertAlign w:val="baseline"/>
          <w:lang w:val="en-US" w:eastAsia="zh-CN" w:bidi="ar"/>
          <w:woUserID w:val="1"/>
        </w:rPr>
        <w:t>LED</w:t>
      </w:r>
      <w:r>
        <w:rPr>
          <w:rFonts w:hint="eastAsia" w:ascii="宋体" w:hAnsi="宋体" w:eastAsia="宋体" w:cs="宋体"/>
          <w:kern w:val="2"/>
          <w:sz w:val="24"/>
          <w:szCs w:val="24"/>
          <w:highlight w:val="none"/>
          <w:vertAlign w:val="baseline"/>
          <w:lang w:val="en-US" w:eastAsia="zh-CN" w:bidi="ar"/>
          <w:woUserID w:val="1"/>
        </w:rPr>
        <w:t>屏幕显示提示驾驶员进入相应的采样机进行采样。</w:t>
      </w:r>
    </w:p>
    <w:p w14:paraId="058CF8E0">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w:t>
      </w:r>
      <w:r>
        <w:rPr>
          <w:rFonts w:hint="eastAsia" w:ascii="宋体" w:hAnsi="宋体" w:eastAsia="宋体" w:cs="宋体"/>
          <w:kern w:val="2"/>
          <w:sz w:val="24"/>
          <w:szCs w:val="24"/>
          <w:highlight w:val="none"/>
          <w:vertAlign w:val="baseline"/>
          <w:lang w:val="en-US" w:eastAsia="zh-CN" w:bidi="ar"/>
          <w:woUserID w:val="1"/>
        </w:rPr>
        <w:t>）、融合车号、称重时间、票重、毛重、皮重、净重、煤种、异常、发货单位等信息，实现入厂登记、自动计量、数据自动上传等功能，利用信息化技术监控现场设备，以图形化的方式结合数据表的方式进行入厂流程展示，实现对入厂异常数据的预警提醒，自动生成相关的报表，提供审批以及上报流程。</w:t>
      </w:r>
    </w:p>
    <w:p w14:paraId="4540A9E8">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6</w:t>
      </w:r>
      <w:r>
        <w:rPr>
          <w:rFonts w:hint="eastAsia" w:ascii="宋体" w:hAnsi="宋体" w:eastAsia="宋体" w:cs="宋体"/>
          <w:kern w:val="2"/>
          <w:sz w:val="24"/>
          <w:szCs w:val="24"/>
          <w:highlight w:val="none"/>
          <w:vertAlign w:val="baseline"/>
          <w:lang w:val="en-US" w:eastAsia="zh-CN" w:bidi="ar"/>
          <w:woUserID w:val="1"/>
        </w:rPr>
        <w:t>）、系统与汽车衡器通过接口集成，实现对计量设备的远程监视。</w:t>
      </w:r>
    </w:p>
    <w:p w14:paraId="318759CE">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A</w:t>
      </w:r>
      <w:r>
        <w:rPr>
          <w:rFonts w:hint="eastAsia" w:ascii="宋体" w:hAnsi="宋体" w:eastAsia="宋体" w:cs="宋体"/>
          <w:kern w:val="2"/>
          <w:sz w:val="24"/>
          <w:szCs w:val="24"/>
          <w:highlight w:val="none"/>
          <w:vertAlign w:val="baseline"/>
          <w:lang w:val="en-US" w:eastAsia="zh-CN" w:bidi="ar"/>
          <w:woUserID w:val="1"/>
        </w:rPr>
        <w:t>）、监视的参数包含设备故障、计量脉冲、瞬时流量。</w:t>
      </w:r>
    </w:p>
    <w:p w14:paraId="111471DC">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B</w:t>
      </w:r>
      <w:r>
        <w:rPr>
          <w:rFonts w:hint="eastAsia" w:ascii="宋体" w:hAnsi="宋体" w:eastAsia="宋体" w:cs="宋体"/>
          <w:kern w:val="2"/>
          <w:sz w:val="24"/>
          <w:szCs w:val="24"/>
          <w:highlight w:val="none"/>
          <w:vertAlign w:val="baseline"/>
          <w:lang w:val="en-US" w:eastAsia="zh-CN" w:bidi="ar"/>
          <w:woUserID w:val="1"/>
        </w:rPr>
        <w:t>）、对每天的总车数和净重进行统计，对各车号、称重时间、票重、毛重、皮重、净重、煤种及发货单位用列表的形式进行展示，并用柱状图的形式对毛重、皮重、皮重异常进行按月的对比分析。</w:t>
      </w:r>
    </w:p>
    <w:p w14:paraId="246A14F0">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C</w:t>
      </w:r>
      <w:r>
        <w:rPr>
          <w:rFonts w:hint="eastAsia" w:ascii="宋体" w:hAnsi="宋体" w:eastAsia="宋体" w:cs="宋体"/>
          <w:kern w:val="2"/>
          <w:sz w:val="24"/>
          <w:szCs w:val="24"/>
          <w:highlight w:val="none"/>
          <w:vertAlign w:val="baseline"/>
          <w:lang w:val="en-US" w:eastAsia="zh-CN" w:bidi="ar"/>
          <w:woUserID w:val="1"/>
        </w:rPr>
        <w:t>）、管理员手动调整车辆所处的流程作态，并生成相应的操作流程信息。</w:t>
      </w:r>
    </w:p>
    <w:p w14:paraId="11BCB9D0">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7</w:t>
      </w:r>
      <w:r>
        <w:rPr>
          <w:rFonts w:hint="eastAsia" w:ascii="宋体" w:hAnsi="宋体" w:eastAsia="宋体" w:cs="宋体"/>
          <w:kern w:val="2"/>
          <w:sz w:val="24"/>
          <w:szCs w:val="24"/>
          <w:highlight w:val="none"/>
          <w:vertAlign w:val="baseline"/>
          <w:lang w:val="en-US" w:eastAsia="zh-CN" w:bidi="ar"/>
          <w:woUserID w:val="1"/>
        </w:rPr>
        <w:t>）、入厂汽车计量系统可增加实时重量值及仪表回零监测，利用数据曲线实时监控计量点的重量值，判断每次车辆上衡前、下衡后，表计是否回零，并对异常情况报警提示。</w:t>
      </w:r>
    </w:p>
    <w:p w14:paraId="76E3D589">
      <w:pPr>
        <w:pStyle w:val="27"/>
        <w:keepNext w:val="0"/>
        <w:keepLines w:val="0"/>
        <w:widowControl w:val="0"/>
        <w:suppressLineNumbers w:val="0"/>
        <w:kinsoku w:val="0"/>
        <w:overflowPunct w:val="0"/>
        <w:autoSpaceDE w:val="0"/>
        <w:autoSpaceDN w:val="0"/>
        <w:spacing w:before="0" w:beforeAutospacing="1" w:after="0" w:afterAutospacing="1" w:line="360" w:lineRule="auto"/>
        <w:ind w:left="0" w:leftChars="0" w:right="0" w:firstLine="0" w:firstLineChars="0"/>
        <w:outlineLvl w:val="3"/>
        <w:rPr>
          <w:rFonts w:hint="eastAsia" w:ascii="Times New Roman" w:hAnsi="Times New Roman" w:eastAsia="宋体" w:cs="Times New Roman"/>
          <w:b/>
          <w:bCs/>
          <w:kern w:val="2"/>
          <w:sz w:val="21"/>
          <w:szCs w:val="21"/>
          <w:highlight w:val="none"/>
          <w:woUserID w:val="1"/>
        </w:rPr>
      </w:pPr>
      <w:r>
        <w:rPr>
          <w:rFonts w:hint="eastAsia" w:ascii="宋体" w:hAnsi="宋体" w:eastAsia="宋体" w:cs="宋体"/>
          <w:b/>
          <w:bCs/>
          <w:kern w:val="2"/>
          <w:sz w:val="21"/>
          <w:szCs w:val="21"/>
          <w:highlight w:val="none"/>
          <w:woUserID w:val="1"/>
        </w:rPr>
        <w:t>5.2.4汽车煤接卸管理系统</w:t>
      </w:r>
    </w:p>
    <w:p w14:paraId="49C21A86">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汽车煤接卸管理系统主要包括接卸位置指定、接卸异常处理等功能。</w:t>
      </w:r>
    </w:p>
    <w:p w14:paraId="40F08BB9">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系统具备按照批次信息获取实现在调运燃煤的卸煤位置，具体到卸煤点编号。通过利用采样区域的语音及</w:t>
      </w:r>
      <w:r>
        <w:rPr>
          <w:rFonts w:hint="default" w:ascii="宋体" w:hAnsi="宋体" w:eastAsia="宋体" w:cs="宋体"/>
          <w:kern w:val="2"/>
          <w:sz w:val="24"/>
          <w:szCs w:val="24"/>
          <w:highlight w:val="none"/>
          <w:vertAlign w:val="baseline"/>
          <w:lang w:val="en-US" w:eastAsia="zh-CN" w:bidi="ar"/>
          <w:woUserID w:val="1"/>
        </w:rPr>
        <w:t>LED</w:t>
      </w:r>
      <w:r>
        <w:rPr>
          <w:rFonts w:hint="eastAsia" w:ascii="宋体" w:hAnsi="宋体" w:eastAsia="宋体" w:cs="宋体"/>
          <w:kern w:val="2"/>
          <w:sz w:val="24"/>
          <w:szCs w:val="24"/>
          <w:highlight w:val="none"/>
          <w:vertAlign w:val="baseline"/>
          <w:lang w:val="en-US" w:eastAsia="zh-CN" w:bidi="ar"/>
          <w:woUserID w:val="1"/>
        </w:rPr>
        <w:t>显示屏对司机进行指引卸煤位置。</w:t>
      </w:r>
    </w:p>
    <w:p w14:paraId="5B9FB8BC">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接卸异常处理：煤质视检验收人员采用</w:t>
      </w:r>
      <w:r>
        <w:rPr>
          <w:rFonts w:hint="default" w:ascii="宋体" w:hAnsi="宋体" w:eastAsia="宋体" w:cs="宋体"/>
          <w:kern w:val="2"/>
          <w:sz w:val="24"/>
          <w:szCs w:val="24"/>
          <w:highlight w:val="none"/>
          <w:vertAlign w:val="baseline"/>
          <w:lang w:val="en-US" w:eastAsia="zh-CN" w:bidi="ar"/>
          <w:woUserID w:val="1"/>
        </w:rPr>
        <w:t>PDA</w:t>
      </w:r>
      <w:r>
        <w:rPr>
          <w:rFonts w:hint="eastAsia" w:ascii="宋体" w:hAnsi="宋体" w:eastAsia="宋体" w:cs="宋体"/>
          <w:kern w:val="2"/>
          <w:sz w:val="24"/>
          <w:szCs w:val="24"/>
          <w:highlight w:val="none"/>
          <w:vertAlign w:val="baseline"/>
          <w:lang w:val="en-US" w:eastAsia="zh-CN" w:bidi="ar"/>
          <w:woUserID w:val="1"/>
        </w:rPr>
        <w:t>在线管理，可上传图片、扣罚操作等，严重违规可以记录违规等级（较轻、中、较重），作为后续合同内的参考依据。卸煤方案：系统根据设定方案语音提示指引车辆进入指定卸煤口。</w:t>
      </w:r>
    </w:p>
    <w:p w14:paraId="67A21296">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现场</w:t>
      </w:r>
      <w:r>
        <w:rPr>
          <w:rFonts w:hint="default" w:ascii="宋体" w:hAnsi="宋体" w:eastAsia="宋体" w:cs="宋体"/>
          <w:kern w:val="2"/>
          <w:sz w:val="24"/>
          <w:szCs w:val="24"/>
          <w:highlight w:val="none"/>
          <w:vertAlign w:val="baseline"/>
          <w:lang w:val="en-US" w:eastAsia="zh-CN" w:bidi="ar"/>
          <w:woUserID w:val="1"/>
        </w:rPr>
        <w:t>PAD</w:t>
      </w:r>
      <w:r>
        <w:rPr>
          <w:rFonts w:hint="eastAsia" w:ascii="宋体" w:hAnsi="宋体" w:eastAsia="宋体" w:cs="宋体"/>
          <w:kern w:val="2"/>
          <w:sz w:val="24"/>
          <w:szCs w:val="24"/>
          <w:highlight w:val="none"/>
          <w:vertAlign w:val="baseline"/>
          <w:lang w:val="en-US" w:eastAsia="zh-CN" w:bidi="ar"/>
          <w:woUserID w:val="1"/>
        </w:rPr>
        <w:t>监卸：增加现场手持</w:t>
      </w:r>
      <w:r>
        <w:rPr>
          <w:rFonts w:hint="default" w:ascii="宋体" w:hAnsi="宋体" w:eastAsia="宋体" w:cs="宋体"/>
          <w:kern w:val="2"/>
          <w:sz w:val="24"/>
          <w:szCs w:val="24"/>
          <w:highlight w:val="none"/>
          <w:vertAlign w:val="baseline"/>
          <w:lang w:val="en-US" w:eastAsia="zh-CN" w:bidi="ar"/>
          <w:woUserID w:val="1"/>
        </w:rPr>
        <w:t xml:space="preserve">PDA </w:t>
      </w:r>
      <w:r>
        <w:rPr>
          <w:rFonts w:hint="eastAsia" w:ascii="宋体" w:hAnsi="宋体" w:eastAsia="宋体" w:cs="宋体"/>
          <w:kern w:val="2"/>
          <w:sz w:val="24"/>
          <w:szCs w:val="24"/>
          <w:highlight w:val="none"/>
          <w:vertAlign w:val="baseline"/>
          <w:lang w:val="en-US" w:eastAsia="zh-CN" w:bidi="ar"/>
          <w:woUserID w:val="1"/>
        </w:rPr>
        <w:t>监卸装置，用于现场质检目测登记、指标统计及不合格煤炭或违规车辆或司机的登记，登记结束后，现场人员利用无线网络通过手持</w:t>
      </w:r>
      <w:r>
        <w:rPr>
          <w:rFonts w:hint="default" w:ascii="宋体" w:hAnsi="宋体" w:eastAsia="宋体" w:cs="宋体"/>
          <w:kern w:val="2"/>
          <w:sz w:val="24"/>
          <w:szCs w:val="24"/>
          <w:highlight w:val="none"/>
          <w:vertAlign w:val="baseline"/>
          <w:lang w:val="en-US" w:eastAsia="zh-CN" w:bidi="ar"/>
          <w:woUserID w:val="1"/>
        </w:rPr>
        <w:t>PDA</w:t>
      </w:r>
      <w:r>
        <w:rPr>
          <w:rFonts w:hint="eastAsia" w:ascii="宋体" w:hAnsi="宋体" w:eastAsia="宋体" w:cs="宋体"/>
          <w:kern w:val="2"/>
          <w:sz w:val="24"/>
          <w:szCs w:val="24"/>
          <w:highlight w:val="none"/>
          <w:vertAlign w:val="baseline"/>
          <w:lang w:val="en-US" w:eastAsia="zh-CN" w:bidi="ar"/>
          <w:woUserID w:val="1"/>
        </w:rPr>
        <w:t>自动上传当次采集的信息至管控系统。</w:t>
      </w:r>
    </w:p>
    <w:p w14:paraId="266E1C43">
      <w:pPr>
        <w:keepNext w:val="0"/>
        <w:keepLines w:val="0"/>
        <w:widowControl w:val="0"/>
        <w:suppressLineNumbers w:val="0"/>
        <w:spacing w:before="120" w:beforeAutospacing="0" w:after="0" w:afterAutospacing="0" w:line="360" w:lineRule="auto"/>
        <w:ind w:left="0" w:right="0"/>
        <w:jc w:val="both"/>
        <w:textAlignment w:val="baseline"/>
        <w:outlineLvl w:val="2"/>
        <w:rPr>
          <w:rFonts w:hint="eastAsia" w:ascii="宋体" w:hAnsi="宋体" w:eastAsia="宋体" w:cs="宋体"/>
          <w:b/>
          <w:bCs/>
          <w:kern w:val="2"/>
          <w:sz w:val="21"/>
          <w:szCs w:val="21"/>
          <w:highlight w:val="none"/>
          <w:vertAlign w:val="baseline"/>
          <w:woUserID w:val="1"/>
        </w:rPr>
      </w:pPr>
      <w:r>
        <w:rPr>
          <w:rFonts w:hint="eastAsia" w:ascii="宋体" w:hAnsi="宋体" w:eastAsia="宋体" w:cs="宋体"/>
          <w:b/>
          <w:bCs/>
          <w:kern w:val="2"/>
          <w:sz w:val="21"/>
          <w:szCs w:val="21"/>
          <w:highlight w:val="none"/>
          <w:vertAlign w:val="baseline"/>
          <w:lang w:val="en-US" w:eastAsia="zh-CN" w:bidi="ar"/>
          <w:woUserID w:val="1"/>
        </w:rPr>
        <w:t>5.3钢结构及采制楼技术要求</w:t>
      </w:r>
    </w:p>
    <w:p w14:paraId="572549CF">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 xml:space="preserve">5.3.1 </w:t>
      </w:r>
      <w:r>
        <w:rPr>
          <w:rFonts w:hint="eastAsia" w:ascii="宋体" w:hAnsi="宋体" w:eastAsia="宋体" w:cs="宋体"/>
          <w:kern w:val="2"/>
          <w:sz w:val="24"/>
          <w:szCs w:val="24"/>
          <w:highlight w:val="none"/>
          <w:vertAlign w:val="baseline"/>
          <w:lang w:val="en-US" w:eastAsia="zh-CN" w:bidi="ar"/>
          <w:woUserID w:val="1"/>
        </w:rPr>
        <w:t>本项目新建汽车采样系统</w:t>
      </w:r>
      <w:r>
        <w:rPr>
          <w:rFonts w:hint="default" w:ascii="宋体" w:hAnsi="宋体" w:eastAsia="宋体" w:cs="宋体"/>
          <w:kern w:val="2"/>
          <w:sz w:val="24"/>
          <w:szCs w:val="24"/>
          <w:highlight w:val="none"/>
          <w:vertAlign w:val="baseline"/>
          <w:lang w:val="en-US" w:eastAsia="zh-CN" w:bidi="ar"/>
          <w:woUserID w:val="1"/>
        </w:rPr>
        <w:t>2</w:t>
      </w:r>
      <w:r>
        <w:rPr>
          <w:rFonts w:hint="eastAsia" w:ascii="宋体" w:hAnsi="宋体" w:eastAsia="宋体" w:cs="宋体"/>
          <w:kern w:val="2"/>
          <w:sz w:val="24"/>
          <w:szCs w:val="24"/>
          <w:highlight w:val="none"/>
          <w:vertAlign w:val="baseline"/>
          <w:lang w:val="en-US" w:eastAsia="zh-CN" w:bidi="ar"/>
          <w:woUserID w:val="1"/>
        </w:rPr>
        <w:t>套，平行布置，采样棚为钢结构形式，主要承载钢结构采用合适的结构型式，所有材料的化学成分和机械性能符合国家标准的规定。所有钢材都能满足当地极端最低气温环境的要求。所用的材料在焊接前均进行喷丸处理，所有施焊区域在焊接前均做清洁处理。主要角焊缝采用自动或半自动的方法完成，保证有足够的熔深，钢板的对接焊采用埋弧焊，保证焊透。焊缝坡口和外形尺寸符合</w:t>
      </w:r>
      <w:r>
        <w:rPr>
          <w:rFonts w:hint="default" w:ascii="宋体" w:hAnsi="宋体" w:eastAsia="宋体" w:cs="宋体"/>
          <w:kern w:val="2"/>
          <w:sz w:val="24"/>
          <w:szCs w:val="24"/>
          <w:highlight w:val="none"/>
          <w:vertAlign w:val="baseline"/>
          <w:lang w:val="en-US" w:eastAsia="zh-CN" w:bidi="ar"/>
          <w:woUserID w:val="1"/>
        </w:rPr>
        <w:t>GB985</w:t>
      </w:r>
      <w:r>
        <w:rPr>
          <w:rFonts w:hint="eastAsia" w:ascii="宋体" w:hAnsi="宋体" w:eastAsia="宋体" w:cs="宋体"/>
          <w:kern w:val="2"/>
          <w:sz w:val="24"/>
          <w:szCs w:val="24"/>
          <w:highlight w:val="none"/>
          <w:vertAlign w:val="baseline"/>
          <w:lang w:val="en-US" w:eastAsia="zh-CN" w:bidi="ar"/>
          <w:woUserID w:val="1"/>
        </w:rPr>
        <w:t>、</w:t>
      </w:r>
      <w:r>
        <w:rPr>
          <w:rFonts w:hint="default" w:ascii="宋体" w:hAnsi="宋体" w:eastAsia="宋体" w:cs="宋体"/>
          <w:kern w:val="2"/>
          <w:sz w:val="24"/>
          <w:szCs w:val="24"/>
          <w:highlight w:val="none"/>
          <w:vertAlign w:val="baseline"/>
          <w:lang w:val="en-US" w:eastAsia="zh-CN" w:bidi="ar"/>
          <w:woUserID w:val="1"/>
        </w:rPr>
        <w:t>GB986</w:t>
      </w:r>
      <w:r>
        <w:rPr>
          <w:rFonts w:hint="eastAsia" w:ascii="宋体" w:hAnsi="宋体" w:eastAsia="宋体" w:cs="宋体"/>
          <w:kern w:val="2"/>
          <w:sz w:val="24"/>
          <w:szCs w:val="24"/>
          <w:highlight w:val="none"/>
          <w:vertAlign w:val="baseline"/>
          <w:lang w:val="en-US" w:eastAsia="zh-CN" w:bidi="ar"/>
          <w:woUserID w:val="1"/>
        </w:rPr>
        <w:t>、</w:t>
      </w:r>
      <w:r>
        <w:rPr>
          <w:rFonts w:hint="default" w:ascii="宋体" w:hAnsi="宋体" w:eastAsia="宋体" w:cs="宋体"/>
          <w:kern w:val="2"/>
          <w:sz w:val="24"/>
          <w:szCs w:val="24"/>
          <w:highlight w:val="none"/>
          <w:vertAlign w:val="baseline"/>
          <w:lang w:val="en-US" w:eastAsia="zh-CN" w:bidi="ar"/>
          <w:woUserID w:val="1"/>
        </w:rPr>
        <w:t>GB1184</w:t>
      </w:r>
      <w:r>
        <w:rPr>
          <w:rFonts w:hint="eastAsia" w:ascii="宋体" w:hAnsi="宋体" w:eastAsia="宋体" w:cs="宋体"/>
          <w:kern w:val="2"/>
          <w:sz w:val="24"/>
          <w:szCs w:val="24"/>
          <w:highlight w:val="none"/>
          <w:vertAlign w:val="baseline"/>
          <w:lang w:val="en-US" w:eastAsia="zh-CN" w:bidi="ar"/>
          <w:woUserID w:val="1"/>
        </w:rPr>
        <w:t>的规定。按等强度的原则选用焊条，且在大批量使用前进行工艺性试验，试验合格后方可使用。</w:t>
      </w:r>
    </w:p>
    <w:p w14:paraId="6127852D">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5.3.2</w:t>
      </w:r>
      <w:r>
        <w:rPr>
          <w:rFonts w:hint="eastAsia" w:ascii="宋体" w:hAnsi="宋体" w:eastAsia="宋体" w:cs="宋体"/>
          <w:kern w:val="2"/>
          <w:sz w:val="24"/>
          <w:szCs w:val="24"/>
          <w:highlight w:val="none"/>
          <w:vertAlign w:val="baseline"/>
          <w:lang w:val="en-US" w:eastAsia="zh-CN" w:bidi="ar"/>
          <w:woUserID w:val="1"/>
        </w:rPr>
        <w:t>桥式钢结构采样棚总长</w:t>
      </w:r>
      <w:r>
        <w:rPr>
          <w:rFonts w:hint="default" w:ascii="宋体" w:hAnsi="宋体" w:eastAsia="宋体" w:cs="宋体"/>
          <w:kern w:val="2"/>
          <w:sz w:val="24"/>
          <w:szCs w:val="24"/>
          <w:highlight w:val="none"/>
          <w:vertAlign w:val="baseline"/>
          <w:lang w:val="en-US" w:eastAsia="zh-CN" w:bidi="ar"/>
          <w:woUserID w:val="1"/>
        </w:rPr>
        <w:t>18</w:t>
      </w:r>
      <w:r>
        <w:rPr>
          <w:rFonts w:hint="eastAsia" w:ascii="宋体" w:hAnsi="宋体" w:eastAsia="宋体" w:cs="宋体"/>
          <w:kern w:val="2"/>
          <w:sz w:val="24"/>
          <w:szCs w:val="24"/>
          <w:highlight w:val="none"/>
          <w:vertAlign w:val="baseline"/>
          <w:lang w:val="en-US" w:eastAsia="zh-CN" w:bidi="ar"/>
          <w:woUserID w:val="1"/>
        </w:rPr>
        <w:t>米，大车轨道以上部分四周采用单层彩钢板围闭；钢结构包含钢结构主体钢架、行车梁及行走轨道、大车滑线支撑架、车道照明系统（</w:t>
      </w:r>
      <w:r>
        <w:rPr>
          <w:rFonts w:hint="default" w:ascii="宋体" w:hAnsi="宋体" w:eastAsia="宋体" w:cs="宋体"/>
          <w:kern w:val="2"/>
          <w:sz w:val="24"/>
          <w:szCs w:val="24"/>
          <w:highlight w:val="none"/>
          <w:vertAlign w:val="baseline"/>
          <w:lang w:val="en-US" w:eastAsia="zh-CN" w:bidi="ar"/>
          <w:woUserID w:val="1"/>
        </w:rPr>
        <w:t>200W</w:t>
      </w:r>
      <w:r>
        <w:rPr>
          <w:rFonts w:hint="eastAsia" w:ascii="宋体" w:hAnsi="宋体" w:eastAsia="宋体" w:cs="宋体"/>
          <w:kern w:val="2"/>
          <w:sz w:val="24"/>
          <w:szCs w:val="24"/>
          <w:highlight w:val="none"/>
          <w:vertAlign w:val="baseline"/>
          <w:lang w:val="en-US" w:eastAsia="zh-CN" w:bidi="ar"/>
          <w:woUserID w:val="1"/>
        </w:rPr>
        <w:t>，</w:t>
      </w:r>
      <w:r>
        <w:rPr>
          <w:rFonts w:hint="default" w:ascii="宋体" w:hAnsi="宋体" w:eastAsia="宋体" w:cs="宋体"/>
          <w:kern w:val="2"/>
          <w:sz w:val="24"/>
          <w:szCs w:val="24"/>
          <w:highlight w:val="none"/>
          <w:vertAlign w:val="baseline"/>
          <w:lang w:val="en-US" w:eastAsia="zh-CN" w:bidi="ar"/>
          <w:woUserID w:val="1"/>
        </w:rPr>
        <w:t>LED</w:t>
      </w:r>
      <w:r>
        <w:rPr>
          <w:rFonts w:hint="eastAsia" w:ascii="宋体" w:hAnsi="宋体" w:eastAsia="宋体" w:cs="宋体"/>
          <w:kern w:val="2"/>
          <w:sz w:val="24"/>
          <w:szCs w:val="24"/>
          <w:highlight w:val="none"/>
          <w:vertAlign w:val="baseline"/>
          <w:lang w:val="en-US" w:eastAsia="zh-CN" w:bidi="ar"/>
          <w:woUserID w:val="1"/>
        </w:rPr>
        <w:t>灯）、行车检修爬梯及检修平台。响应人负责钢结构地上部分、钢结构地下基础、地面的限位杆、基础及硬化地面的预埋等全部作业。</w:t>
      </w:r>
    </w:p>
    <w:p w14:paraId="698AFC46">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5.3.3</w:t>
      </w:r>
      <w:r>
        <w:rPr>
          <w:rFonts w:hint="eastAsia" w:ascii="宋体" w:hAnsi="宋体" w:eastAsia="宋体" w:cs="宋体"/>
          <w:kern w:val="2"/>
          <w:sz w:val="24"/>
          <w:szCs w:val="24"/>
          <w:highlight w:val="none"/>
          <w:vertAlign w:val="baseline"/>
          <w:lang w:val="en-US" w:eastAsia="zh-CN" w:bidi="ar"/>
          <w:woUserID w:val="1"/>
        </w:rPr>
        <w:t>采样棚为单层板，不做保温，外墙板厚为</w:t>
      </w:r>
      <w:r>
        <w:rPr>
          <w:rFonts w:hint="default" w:ascii="宋体" w:hAnsi="宋体" w:eastAsia="宋体" w:cs="宋体"/>
          <w:kern w:val="2"/>
          <w:sz w:val="24"/>
          <w:szCs w:val="24"/>
          <w:highlight w:val="none"/>
          <w:vertAlign w:val="baseline"/>
          <w:lang w:val="en-US" w:eastAsia="zh-CN" w:bidi="ar"/>
          <w:woUserID w:val="1"/>
        </w:rPr>
        <w:t>0.6mm</w:t>
      </w:r>
      <w:r>
        <w:rPr>
          <w:rFonts w:hint="eastAsia" w:ascii="宋体" w:hAnsi="宋体" w:eastAsia="宋体" w:cs="宋体"/>
          <w:kern w:val="2"/>
          <w:sz w:val="24"/>
          <w:szCs w:val="24"/>
          <w:highlight w:val="none"/>
          <w:vertAlign w:val="baseline"/>
          <w:lang w:val="en-US" w:eastAsia="zh-CN" w:bidi="ar"/>
          <w:woUserID w:val="1"/>
        </w:rPr>
        <w:t>。</w:t>
      </w:r>
    </w:p>
    <w:p w14:paraId="6333FD5D">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5.3.4</w:t>
      </w:r>
      <w:r>
        <w:rPr>
          <w:rFonts w:hint="eastAsia" w:ascii="宋体" w:hAnsi="宋体" w:eastAsia="宋体" w:cs="宋体"/>
          <w:kern w:val="2"/>
          <w:sz w:val="24"/>
          <w:szCs w:val="24"/>
          <w:highlight w:val="none"/>
          <w:vertAlign w:val="baseline"/>
          <w:lang w:val="en-US" w:eastAsia="zh-CN" w:bidi="ar"/>
          <w:woUserID w:val="1"/>
        </w:rPr>
        <w:t>配套的制样室（含控制室）为二层钢构板房结构形式。</w:t>
      </w:r>
    </w:p>
    <w:p w14:paraId="1589C2CD">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default" w:ascii="宋体" w:hAnsi="宋体" w:eastAsia="宋体" w:cs="宋体"/>
          <w:kern w:val="2"/>
          <w:sz w:val="24"/>
          <w:szCs w:val="24"/>
          <w:highlight w:val="none"/>
          <w:vertAlign w:val="baseline"/>
          <w:lang w:val="en-US" w:eastAsia="zh-CN" w:bidi="ar"/>
          <w:woUserID w:val="1"/>
        </w:rPr>
        <w:t>5.3.5</w:t>
      </w:r>
      <w:r>
        <w:rPr>
          <w:rFonts w:hint="eastAsia" w:ascii="宋体" w:hAnsi="宋体" w:eastAsia="宋体" w:cs="宋体"/>
          <w:kern w:val="2"/>
          <w:sz w:val="24"/>
          <w:szCs w:val="24"/>
          <w:highlight w:val="none"/>
          <w:vertAlign w:val="baseline"/>
          <w:lang w:val="en-US" w:eastAsia="zh-CN" w:bidi="ar"/>
          <w:woUserID w:val="1"/>
        </w:rPr>
        <w:t>采样配套制样室（含控制室）用于放置给料皮带机、破碎机、缩分皮带机、弃料仓、智能封装系统等，各房间建设要考虑隔音、防尘。房间两面安装玻璃窗，全部门窗均为高强度铝合金气密门窗。具体尺寸和面积按响应人的设备布局设计。制样室（含控制室）采用阻燃聚苯板保温以适应采购人的现场气温环境，制样室（含控制室）需考虑采暖采用水暖。</w:t>
      </w:r>
    </w:p>
    <w:p w14:paraId="51A07D37">
      <w:pPr>
        <w:keepNext w:val="0"/>
        <w:keepLines w:val="0"/>
        <w:widowControl w:val="0"/>
        <w:suppressLineNumbers w:val="0"/>
        <w:spacing w:before="120" w:beforeAutospacing="0" w:after="0" w:afterAutospacing="0" w:line="360" w:lineRule="auto"/>
        <w:ind w:left="210" w:leftChars="100" w:right="0" w:firstLine="480" w:firstLineChars="2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地基处理要求充分考虑本地区土质特性，基础（建筑及设备）下方采用灰土回填至原土层，根据荷载需求和本区域地勘资料，必要时增加桩基础，响应人应根据现有设备基础、地勘资料、川南电厂相关工程资料等，对建、构筑物分别提出明确的地基处理方式，并经招标人确认同意，确保无沉降风险。</w:t>
      </w:r>
    </w:p>
    <w:p w14:paraId="10A31677">
      <w:pPr>
        <w:keepNext w:val="0"/>
        <w:keepLines w:val="0"/>
        <w:widowControl w:val="0"/>
        <w:suppressLineNumbers w:val="0"/>
        <w:spacing w:before="120" w:beforeAutospacing="0" w:after="0" w:afterAutospacing="0" w:line="360" w:lineRule="auto"/>
        <w:ind w:left="210" w:leftChars="100" w:right="0" w:firstLine="480" w:firstLineChars="2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响应人应负责按规程计入风荷载、雪荷载、地震荷载、振动荷载、设备荷载、活荷载和安全系数，完成其工作范围内的全部结构设计计算报告、材料技术规格说明、施工指导文件、设计说明和施工图的设计，并负责按技术要求及时向采购人提供完整的土建设计接口文件和图纸资料。</w:t>
      </w:r>
    </w:p>
    <w:p w14:paraId="19146F2F">
      <w:pPr>
        <w:keepNext w:val="0"/>
        <w:keepLines w:val="0"/>
        <w:widowControl w:val="0"/>
        <w:suppressLineNumbers w:val="0"/>
        <w:spacing w:before="120" w:beforeAutospacing="0" w:after="0" w:afterAutospacing="0" w:line="360" w:lineRule="auto"/>
        <w:ind w:left="210" w:leftChars="100" w:right="0" w:firstLine="480" w:firstLineChars="2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结构和设备支架按允许应力设计并含有相应规范中规定的安全系数，安全系数的取值应在计算报告中说明。</w:t>
      </w:r>
    </w:p>
    <w:p w14:paraId="1573127A">
      <w:pPr>
        <w:keepNext w:val="0"/>
        <w:keepLines w:val="0"/>
        <w:widowControl w:val="0"/>
        <w:suppressLineNumbers w:val="0"/>
        <w:spacing w:before="120" w:beforeAutospacing="0" w:after="0" w:afterAutospacing="0" w:line="360" w:lineRule="auto"/>
        <w:ind w:left="210" w:leftChars="100" w:right="0" w:firstLine="480" w:firstLineChars="200"/>
        <w:jc w:val="both"/>
        <w:textAlignment w:val="baseline"/>
        <w:rPr>
          <w:rFonts w:hint="eastAsia"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所有钢结构构件均为成品在现场组装，不允许只供应原材料在现场加工。所有钢结构构件（除镀锌构件外）均应涂漆保护，保证年限</w:t>
      </w:r>
      <w:r>
        <w:rPr>
          <w:rFonts w:hint="default" w:ascii="宋体" w:hAnsi="宋体" w:eastAsia="宋体" w:cs="宋体"/>
          <w:kern w:val="2"/>
          <w:sz w:val="24"/>
          <w:szCs w:val="24"/>
          <w:highlight w:val="none"/>
          <w:vertAlign w:val="baseline"/>
          <w:lang w:val="en-US" w:eastAsia="zh-CN" w:bidi="ar"/>
          <w:woUserID w:val="1"/>
        </w:rPr>
        <w:t>15</w:t>
      </w:r>
      <w:r>
        <w:rPr>
          <w:rFonts w:hint="eastAsia" w:ascii="宋体" w:hAnsi="宋体" w:eastAsia="宋体" w:cs="宋体"/>
          <w:kern w:val="2"/>
          <w:sz w:val="24"/>
          <w:szCs w:val="24"/>
          <w:highlight w:val="none"/>
          <w:vertAlign w:val="baseline"/>
          <w:lang w:val="en-US" w:eastAsia="zh-CN" w:bidi="ar"/>
          <w:woUserID w:val="1"/>
        </w:rPr>
        <w:t>年。</w:t>
      </w:r>
    </w:p>
    <w:p w14:paraId="18688673">
      <w:pPr>
        <w:keepNext w:val="0"/>
        <w:keepLines w:val="0"/>
        <w:widowControl w:val="0"/>
        <w:suppressLineNumbers w:val="0"/>
        <w:spacing w:before="120" w:beforeAutospacing="0" w:after="0" w:afterAutospacing="0" w:line="360" w:lineRule="auto"/>
        <w:ind w:left="210" w:leftChars="100" w:right="0" w:firstLine="480" w:firstLineChars="200"/>
        <w:jc w:val="both"/>
        <w:textAlignment w:val="baseline"/>
        <w:rPr>
          <w:rFonts w:hint="default" w:ascii="宋体" w:hAnsi="宋体" w:eastAsia="宋体" w:cs="宋体"/>
          <w:kern w:val="2"/>
          <w:sz w:val="24"/>
          <w:szCs w:val="24"/>
          <w:highlight w:val="none"/>
          <w:vertAlign w:val="baseline"/>
          <w:lang w:val="en-US" w:eastAsia="zh-CN" w:bidi="ar"/>
          <w:woUserID w:val="1"/>
        </w:rPr>
      </w:pPr>
      <w:r>
        <w:rPr>
          <w:rFonts w:hint="eastAsia" w:ascii="宋体" w:hAnsi="宋体" w:eastAsia="宋体" w:cs="宋体"/>
          <w:kern w:val="2"/>
          <w:sz w:val="24"/>
          <w:szCs w:val="24"/>
          <w:highlight w:val="none"/>
          <w:vertAlign w:val="baseline"/>
          <w:lang w:val="en-US" w:eastAsia="zh-CN" w:bidi="ar"/>
          <w:woUserID w:val="1"/>
        </w:rPr>
        <w:t>响应人负责根据实际设备安装需要对房间进行布局设计，包括：地面、墙面贴砖、门窗、电、暖、照明、检修箱、统一色调装修等；响应人须提供详细设计方案满足设备摆放需求。</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08"/>
        <w:gridCol w:w="3214"/>
        <w:gridCol w:w="1072"/>
        <w:gridCol w:w="3364"/>
      </w:tblGrid>
      <w:tr w14:paraId="0FCB1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292492C">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default" w:ascii="Times New Roman" w:hAnsi="Times New Roman" w:eastAsia="宋体" w:cs="Times New Roman"/>
                <w:kern w:val="2"/>
                <w:sz w:val="21"/>
                <w:szCs w:val="21"/>
                <w:highlight w:val="none"/>
                <w:lang w:val="en-US" w:eastAsia="zh-CN" w:bidi="ar"/>
                <w:woUserID w:val="1"/>
              </w:rPr>
              <w:t>1</w:t>
            </w:r>
            <w:r>
              <w:rPr>
                <w:rFonts w:hint="eastAsia" w:ascii="宋体" w:hAnsi="宋体" w:eastAsia="宋体" w:cs="宋体"/>
                <w:kern w:val="2"/>
                <w:sz w:val="21"/>
                <w:szCs w:val="21"/>
                <w:highlight w:val="none"/>
                <w:lang w:val="en-US" w:eastAsia="zh-CN" w:bidi="ar"/>
                <w:woUserID w:val="1"/>
              </w:rPr>
              <w:t>、采制楼工程技术要求</w:t>
            </w:r>
          </w:p>
        </w:tc>
      </w:tr>
      <w:tr w14:paraId="2EA0C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pct"/>
            <w:tcBorders>
              <w:top w:val="single" w:color="auto" w:sz="4" w:space="0"/>
              <w:left w:val="single" w:color="auto" w:sz="4" w:space="0"/>
              <w:bottom w:val="single" w:color="auto" w:sz="4" w:space="0"/>
              <w:right w:val="single" w:color="auto" w:sz="4" w:space="0"/>
            </w:tcBorders>
            <w:shd w:val="clear" w:color="auto" w:fill="auto"/>
            <w:vAlign w:val="center"/>
          </w:tcPr>
          <w:p w14:paraId="70F6D10A">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室外门：</w:t>
            </w:r>
          </w:p>
        </w:tc>
        <w:tc>
          <w:tcPr>
            <w:tcW w:w="1814" w:type="pct"/>
            <w:tcBorders>
              <w:top w:val="single" w:color="auto" w:sz="4" w:space="0"/>
              <w:left w:val="single" w:color="auto" w:sz="4" w:space="0"/>
              <w:bottom w:val="single" w:color="auto" w:sz="4" w:space="0"/>
              <w:right w:val="single" w:color="auto" w:sz="4" w:space="0"/>
            </w:tcBorders>
            <w:shd w:val="clear" w:color="auto" w:fill="auto"/>
            <w:vAlign w:val="center"/>
          </w:tcPr>
          <w:p w14:paraId="048AB8EB">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钢质防火门</w:t>
            </w:r>
          </w:p>
        </w:tc>
        <w:tc>
          <w:tcPr>
            <w:tcW w:w="605" w:type="pct"/>
            <w:tcBorders>
              <w:top w:val="single" w:color="auto" w:sz="4" w:space="0"/>
              <w:left w:val="single" w:color="auto" w:sz="4" w:space="0"/>
              <w:bottom w:val="single" w:color="auto" w:sz="4" w:space="0"/>
              <w:right w:val="single" w:color="auto" w:sz="4" w:space="0"/>
            </w:tcBorders>
            <w:shd w:val="clear" w:color="auto" w:fill="auto"/>
            <w:vAlign w:val="center"/>
          </w:tcPr>
          <w:p w14:paraId="63AB5802">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照明：</w:t>
            </w:r>
          </w:p>
        </w:tc>
        <w:tc>
          <w:tcPr>
            <w:tcW w:w="1897" w:type="pct"/>
            <w:tcBorders>
              <w:top w:val="single" w:color="auto" w:sz="4" w:space="0"/>
              <w:left w:val="single" w:color="auto" w:sz="4" w:space="0"/>
              <w:bottom w:val="single" w:color="auto" w:sz="4" w:space="0"/>
              <w:right w:val="single" w:color="auto" w:sz="4" w:space="0"/>
            </w:tcBorders>
            <w:shd w:val="clear" w:color="auto" w:fill="auto"/>
            <w:vAlign w:val="center"/>
          </w:tcPr>
          <w:p w14:paraId="066A019A">
            <w:pPr>
              <w:keepNext w:val="0"/>
              <w:keepLines w:val="0"/>
              <w:widowControl w:val="0"/>
              <w:suppressLineNumbers w:val="0"/>
              <w:wordWrap w:val="0"/>
              <w:spacing w:before="0" w:beforeAutospacing="0" w:after="200" w:afterAutospacing="0"/>
              <w:ind w:left="0" w:right="0"/>
              <w:jc w:val="center"/>
              <w:rPr>
                <w:rFonts w:hint="eastAsia" w:ascii="Times New Roman" w:hAnsi="Times New Roman" w:eastAsia="宋体" w:cs="Times New Roman"/>
                <w:kern w:val="2"/>
                <w:sz w:val="21"/>
                <w:szCs w:val="21"/>
                <w:highlight w:val="none"/>
                <w:lang w:eastAsia="zh"/>
                <w:woUserID w:val="1"/>
              </w:rPr>
            </w:pPr>
            <w:r>
              <w:rPr>
                <w:rFonts w:hint="eastAsia" w:ascii="宋体" w:hAnsi="宋体" w:eastAsia="宋体" w:cs="宋体"/>
                <w:kern w:val="2"/>
                <w:sz w:val="21"/>
                <w:szCs w:val="21"/>
                <w:highlight w:val="none"/>
                <w:lang w:val="en-US" w:eastAsia="zh-CN" w:bidi="ar"/>
                <w:woUserID w:val="1"/>
              </w:rPr>
              <w:t>免维护防爆泛光灯（分层布置）</w:t>
            </w:r>
            <w:r>
              <w:rPr>
                <w:rFonts w:hint="eastAsia" w:ascii="宋体" w:hAnsi="宋体" w:eastAsia="宋体" w:cs="宋体"/>
                <w:kern w:val="2"/>
                <w:sz w:val="21"/>
                <w:szCs w:val="21"/>
                <w:highlight w:val="none"/>
                <w:lang w:val="en-US" w:eastAsia="zh" w:bidi="ar"/>
                <w:woUserID w:val="1"/>
              </w:rPr>
              <w:t>，采用冷光灯，光照度满足采制样区域及周边无死角</w:t>
            </w:r>
          </w:p>
        </w:tc>
      </w:tr>
      <w:tr w14:paraId="318ED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682" w:type="pct"/>
            <w:tcBorders>
              <w:top w:val="single" w:color="auto" w:sz="4" w:space="0"/>
              <w:left w:val="single" w:color="auto" w:sz="4" w:space="0"/>
              <w:bottom w:val="single" w:color="auto" w:sz="4" w:space="0"/>
              <w:right w:val="single" w:color="auto" w:sz="4" w:space="0"/>
            </w:tcBorders>
            <w:shd w:val="clear" w:color="auto" w:fill="auto"/>
            <w:vAlign w:val="center"/>
          </w:tcPr>
          <w:p w14:paraId="34E276CC">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地面：</w:t>
            </w:r>
          </w:p>
        </w:tc>
        <w:tc>
          <w:tcPr>
            <w:tcW w:w="1814" w:type="pct"/>
            <w:tcBorders>
              <w:top w:val="single" w:color="auto" w:sz="4" w:space="0"/>
              <w:left w:val="single" w:color="auto" w:sz="4" w:space="0"/>
              <w:bottom w:val="single" w:color="auto" w:sz="4" w:space="0"/>
              <w:right w:val="single" w:color="auto" w:sz="4" w:space="0"/>
            </w:tcBorders>
            <w:shd w:val="clear" w:color="auto" w:fill="auto"/>
            <w:vAlign w:val="center"/>
          </w:tcPr>
          <w:p w14:paraId="5AD199B2">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地砖（光面，无花纹），或者水磨石</w:t>
            </w:r>
          </w:p>
        </w:tc>
        <w:tc>
          <w:tcPr>
            <w:tcW w:w="605" w:type="pct"/>
            <w:tcBorders>
              <w:top w:val="single" w:color="auto" w:sz="4" w:space="0"/>
              <w:left w:val="single" w:color="auto" w:sz="4" w:space="0"/>
              <w:bottom w:val="single" w:color="auto" w:sz="4" w:space="0"/>
              <w:right w:val="single" w:color="auto" w:sz="4" w:space="0"/>
            </w:tcBorders>
            <w:shd w:val="clear" w:color="auto" w:fill="auto"/>
            <w:vAlign w:val="center"/>
          </w:tcPr>
          <w:p w14:paraId="13222594">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墙面：</w:t>
            </w:r>
          </w:p>
        </w:tc>
        <w:tc>
          <w:tcPr>
            <w:tcW w:w="1897" w:type="pct"/>
            <w:tcBorders>
              <w:top w:val="single" w:color="auto" w:sz="4" w:space="0"/>
              <w:left w:val="single" w:color="auto" w:sz="4" w:space="0"/>
              <w:bottom w:val="single" w:color="auto" w:sz="4" w:space="0"/>
              <w:right w:val="single" w:color="auto" w:sz="4" w:space="0"/>
            </w:tcBorders>
            <w:shd w:val="clear" w:color="auto" w:fill="auto"/>
            <w:vAlign w:val="center"/>
          </w:tcPr>
          <w:p w14:paraId="6634C66F">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墙砖（光面，无花纹），贴到顶</w:t>
            </w:r>
          </w:p>
        </w:tc>
      </w:tr>
      <w:tr w14:paraId="4DBF2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682" w:type="pct"/>
            <w:tcBorders>
              <w:top w:val="single" w:color="auto" w:sz="4" w:space="0"/>
              <w:left w:val="single" w:color="auto" w:sz="4" w:space="0"/>
              <w:bottom w:val="single" w:color="auto" w:sz="4" w:space="0"/>
              <w:right w:val="single" w:color="auto" w:sz="4" w:space="0"/>
            </w:tcBorders>
            <w:shd w:val="clear" w:color="auto" w:fill="auto"/>
            <w:vAlign w:val="center"/>
          </w:tcPr>
          <w:p w14:paraId="46FD00DF">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顶棚：</w:t>
            </w:r>
          </w:p>
        </w:tc>
        <w:tc>
          <w:tcPr>
            <w:tcW w:w="1814" w:type="pct"/>
            <w:tcBorders>
              <w:top w:val="single" w:color="auto" w:sz="4" w:space="0"/>
              <w:left w:val="single" w:color="auto" w:sz="4" w:space="0"/>
              <w:bottom w:val="single" w:color="auto" w:sz="4" w:space="0"/>
              <w:right w:val="single" w:color="auto" w:sz="4" w:space="0"/>
            </w:tcBorders>
            <w:shd w:val="clear" w:color="auto" w:fill="auto"/>
            <w:vAlign w:val="center"/>
          </w:tcPr>
          <w:p w14:paraId="258F791A">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环氧树脂漆或吊顶</w:t>
            </w:r>
          </w:p>
        </w:tc>
        <w:tc>
          <w:tcPr>
            <w:tcW w:w="605" w:type="pct"/>
            <w:tcBorders>
              <w:top w:val="single" w:color="auto" w:sz="4" w:space="0"/>
              <w:left w:val="single" w:color="auto" w:sz="4" w:space="0"/>
              <w:bottom w:val="single" w:color="auto" w:sz="4" w:space="0"/>
              <w:right w:val="single" w:color="auto" w:sz="4" w:space="0"/>
            </w:tcBorders>
            <w:shd w:val="clear" w:color="auto" w:fill="auto"/>
            <w:vAlign w:val="center"/>
          </w:tcPr>
          <w:p w14:paraId="151C9F55">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踢脚线：</w:t>
            </w:r>
          </w:p>
        </w:tc>
        <w:tc>
          <w:tcPr>
            <w:tcW w:w="1897" w:type="pct"/>
            <w:tcBorders>
              <w:top w:val="single" w:color="auto" w:sz="4" w:space="0"/>
              <w:left w:val="single" w:color="auto" w:sz="4" w:space="0"/>
              <w:bottom w:val="single" w:color="auto" w:sz="4" w:space="0"/>
              <w:right w:val="single" w:color="auto" w:sz="4" w:space="0"/>
            </w:tcBorders>
            <w:shd w:val="clear" w:color="auto" w:fill="auto"/>
            <w:vAlign w:val="center"/>
          </w:tcPr>
          <w:p w14:paraId="239D113A">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瓷砖地脚线</w:t>
            </w:r>
          </w:p>
        </w:tc>
      </w:tr>
      <w:tr w14:paraId="6C90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682" w:type="pct"/>
            <w:tcBorders>
              <w:top w:val="single" w:color="auto" w:sz="4" w:space="0"/>
              <w:left w:val="single" w:color="auto" w:sz="4" w:space="0"/>
              <w:bottom w:val="single" w:color="auto" w:sz="4" w:space="0"/>
              <w:right w:val="single" w:color="auto" w:sz="4" w:space="0"/>
            </w:tcBorders>
            <w:shd w:val="clear" w:color="auto" w:fill="auto"/>
            <w:vAlign w:val="center"/>
          </w:tcPr>
          <w:p w14:paraId="064D7F05">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开关：</w:t>
            </w:r>
          </w:p>
        </w:tc>
        <w:tc>
          <w:tcPr>
            <w:tcW w:w="1814" w:type="pct"/>
            <w:tcBorders>
              <w:top w:val="single" w:color="auto" w:sz="4" w:space="0"/>
              <w:left w:val="single" w:color="auto" w:sz="4" w:space="0"/>
              <w:bottom w:val="single" w:color="auto" w:sz="4" w:space="0"/>
              <w:right w:val="single" w:color="auto" w:sz="4" w:space="0"/>
            </w:tcBorders>
            <w:shd w:val="clear" w:color="auto" w:fill="auto"/>
            <w:vAlign w:val="center"/>
          </w:tcPr>
          <w:p w14:paraId="394636F4">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旋钮型防爆开关</w:t>
            </w:r>
          </w:p>
        </w:tc>
        <w:tc>
          <w:tcPr>
            <w:tcW w:w="605" w:type="pct"/>
            <w:tcBorders>
              <w:top w:val="single" w:color="auto" w:sz="4" w:space="0"/>
              <w:left w:val="single" w:color="auto" w:sz="4" w:space="0"/>
              <w:bottom w:val="single" w:color="auto" w:sz="4" w:space="0"/>
              <w:right w:val="single" w:color="auto" w:sz="4" w:space="0"/>
            </w:tcBorders>
            <w:shd w:val="clear" w:color="auto" w:fill="auto"/>
            <w:vAlign w:val="center"/>
          </w:tcPr>
          <w:p w14:paraId="7CF032FE">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卷帘门：</w:t>
            </w:r>
          </w:p>
        </w:tc>
        <w:tc>
          <w:tcPr>
            <w:tcW w:w="1897" w:type="pct"/>
            <w:tcBorders>
              <w:top w:val="single" w:color="auto" w:sz="4" w:space="0"/>
              <w:left w:val="single" w:color="auto" w:sz="4" w:space="0"/>
              <w:bottom w:val="single" w:color="auto" w:sz="4" w:space="0"/>
              <w:right w:val="single" w:color="auto" w:sz="4" w:space="0"/>
            </w:tcBorders>
            <w:shd w:val="clear" w:color="auto" w:fill="auto"/>
            <w:vAlign w:val="center"/>
          </w:tcPr>
          <w:p w14:paraId="683D0819">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电动卷帘门（安装、检修）</w:t>
            </w:r>
          </w:p>
        </w:tc>
      </w:tr>
      <w:tr w14:paraId="74422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682" w:type="pct"/>
            <w:tcBorders>
              <w:top w:val="single" w:color="auto" w:sz="4" w:space="0"/>
              <w:left w:val="single" w:color="auto" w:sz="4" w:space="0"/>
              <w:bottom w:val="single" w:color="auto" w:sz="4" w:space="0"/>
              <w:right w:val="single" w:color="auto" w:sz="4" w:space="0"/>
            </w:tcBorders>
            <w:shd w:val="clear" w:color="auto" w:fill="auto"/>
            <w:vAlign w:val="center"/>
          </w:tcPr>
          <w:p w14:paraId="6DE91519">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空调</w:t>
            </w:r>
          </w:p>
        </w:tc>
        <w:tc>
          <w:tcPr>
            <w:tcW w:w="1814" w:type="pct"/>
            <w:tcBorders>
              <w:top w:val="single" w:color="auto" w:sz="4" w:space="0"/>
              <w:left w:val="single" w:color="auto" w:sz="4" w:space="0"/>
              <w:bottom w:val="single" w:color="auto" w:sz="4" w:space="0"/>
              <w:right w:val="single" w:color="auto" w:sz="4" w:space="0"/>
            </w:tcBorders>
            <w:shd w:val="clear" w:color="auto" w:fill="auto"/>
            <w:vAlign w:val="center"/>
          </w:tcPr>
          <w:p w14:paraId="615AAFB7">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控制室内需布置</w:t>
            </w:r>
            <w:r>
              <w:rPr>
                <w:rFonts w:hint="default" w:ascii="Times New Roman" w:hAnsi="Times New Roman" w:eastAsia="宋体" w:cs="Times New Roman"/>
                <w:kern w:val="2"/>
                <w:sz w:val="21"/>
                <w:szCs w:val="21"/>
                <w:highlight w:val="none"/>
                <w:lang w:val="en-US" w:eastAsia="zh-CN" w:bidi="ar"/>
                <w:woUserID w:val="1"/>
              </w:rPr>
              <w:t>1</w:t>
            </w:r>
            <w:r>
              <w:rPr>
                <w:rFonts w:hint="eastAsia" w:ascii="宋体" w:hAnsi="宋体" w:eastAsia="宋体" w:cs="宋体"/>
                <w:kern w:val="2"/>
                <w:sz w:val="21"/>
                <w:szCs w:val="21"/>
                <w:highlight w:val="none"/>
                <w:lang w:val="en-US" w:eastAsia="zh-CN" w:bidi="ar"/>
                <w:woUserID w:val="1"/>
              </w:rPr>
              <w:t>台</w:t>
            </w:r>
            <w:r>
              <w:rPr>
                <w:rFonts w:hint="default" w:ascii="Times New Roman" w:hAnsi="Times New Roman" w:eastAsia="宋体" w:cs="Times New Roman"/>
                <w:kern w:val="2"/>
                <w:sz w:val="21"/>
                <w:szCs w:val="21"/>
                <w:highlight w:val="none"/>
                <w:lang w:val="en-US" w:eastAsia="zh-CN" w:bidi="ar"/>
                <w:woUserID w:val="1"/>
              </w:rPr>
              <w:t>1.5P</w:t>
            </w:r>
            <w:r>
              <w:rPr>
                <w:rFonts w:hint="eastAsia" w:ascii="宋体" w:hAnsi="宋体" w:eastAsia="宋体" w:cs="宋体"/>
                <w:kern w:val="2"/>
                <w:sz w:val="21"/>
                <w:szCs w:val="21"/>
                <w:highlight w:val="none"/>
                <w:lang w:val="en-US" w:eastAsia="zh-CN" w:bidi="ar"/>
                <w:woUserID w:val="1"/>
              </w:rPr>
              <w:t>冷暖空调</w:t>
            </w:r>
          </w:p>
        </w:tc>
        <w:tc>
          <w:tcPr>
            <w:tcW w:w="605" w:type="pct"/>
            <w:tcBorders>
              <w:top w:val="single" w:color="auto" w:sz="4" w:space="0"/>
              <w:left w:val="single" w:color="auto" w:sz="4" w:space="0"/>
              <w:bottom w:val="single" w:color="auto" w:sz="4" w:space="0"/>
              <w:right w:val="single" w:color="auto" w:sz="4" w:space="0"/>
            </w:tcBorders>
            <w:shd w:val="clear" w:color="auto" w:fill="auto"/>
            <w:vAlign w:val="center"/>
          </w:tcPr>
          <w:p w14:paraId="068E0C81">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其他</w:t>
            </w:r>
          </w:p>
        </w:tc>
        <w:tc>
          <w:tcPr>
            <w:tcW w:w="1897" w:type="pct"/>
            <w:tcBorders>
              <w:top w:val="single" w:color="auto" w:sz="4" w:space="0"/>
              <w:left w:val="single" w:color="auto" w:sz="4" w:space="0"/>
              <w:bottom w:val="single" w:color="auto" w:sz="4" w:space="0"/>
              <w:right w:val="single" w:color="auto" w:sz="4" w:space="0"/>
            </w:tcBorders>
            <w:shd w:val="clear" w:color="auto" w:fill="auto"/>
            <w:vAlign w:val="center"/>
          </w:tcPr>
          <w:p w14:paraId="3DFA9F3F">
            <w:pPr>
              <w:keepNext w:val="0"/>
              <w:keepLines w:val="0"/>
              <w:widowControl w:val="0"/>
              <w:suppressLineNumbers w:val="0"/>
              <w:wordWrap w:val="0"/>
              <w:spacing w:before="0" w:beforeAutospacing="0" w:after="200" w:afterAutospacing="0"/>
              <w:ind w:left="0" w:right="0"/>
              <w:jc w:val="center"/>
              <w:rPr>
                <w:rFonts w:hint="default" w:ascii="Times New Roman" w:hAnsi="Times New Roman"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控制室内设置</w:t>
            </w:r>
            <w:r>
              <w:rPr>
                <w:rFonts w:hint="default" w:ascii="Times New Roman" w:hAnsi="Times New Roman" w:eastAsia="宋体" w:cs="Times New Roman"/>
                <w:kern w:val="2"/>
                <w:sz w:val="21"/>
                <w:szCs w:val="21"/>
                <w:highlight w:val="none"/>
                <w:lang w:val="en-US" w:eastAsia="zh-CN" w:bidi="ar"/>
                <w:woUserID w:val="1"/>
              </w:rPr>
              <w:t>2</w:t>
            </w:r>
            <w:r>
              <w:rPr>
                <w:rFonts w:hint="eastAsia" w:ascii="宋体" w:hAnsi="宋体" w:eastAsia="宋体" w:cs="宋体"/>
                <w:kern w:val="2"/>
                <w:sz w:val="21"/>
                <w:szCs w:val="21"/>
                <w:highlight w:val="none"/>
                <w:lang w:val="en-US" w:eastAsia="zh-CN" w:bidi="ar"/>
                <w:woUserID w:val="1"/>
              </w:rPr>
              <w:t>套办公桌椅</w:t>
            </w:r>
          </w:p>
        </w:tc>
      </w:tr>
    </w:tbl>
    <w:p w14:paraId="3CE58CB4">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highlight w:val="none"/>
          <w:woUserID w:val="1"/>
        </w:rPr>
      </w:pPr>
      <w:r>
        <w:rPr>
          <w:rFonts w:hint="eastAsia" w:ascii="Calibri" w:hAnsi="Calibri" w:eastAsia="宋体" w:cs="Times New Roman"/>
          <w:kern w:val="2"/>
          <w:sz w:val="21"/>
          <w:szCs w:val="21"/>
          <w:highlight w:val="none"/>
          <w:lang w:val="en-US" w:eastAsia="zh-CN" w:bidi="ar"/>
          <w:woUserID w:val="1"/>
        </w:rPr>
        <w:t xml:space="preserve"> </w:t>
      </w:r>
    </w:p>
    <w:p w14:paraId="43457460">
      <w:pPr>
        <w:pStyle w:val="6"/>
        <w:widowControl/>
        <w:spacing w:line="360" w:lineRule="auto"/>
        <w:jc w:val="both"/>
        <w:outlineLvl w:val="1"/>
        <w:rPr>
          <w:rFonts w:hint="eastAsia" w:ascii="宋体" w:hAnsi="宋体" w:eastAsia="宋体" w:cs="宋体"/>
          <w:b/>
          <w:bCs/>
          <w:kern w:val="2"/>
          <w:sz w:val="24"/>
          <w:szCs w:val="24"/>
          <w:highlight w:val="none"/>
          <w:woUserID w:val="1"/>
        </w:rPr>
      </w:pPr>
      <w:r>
        <w:rPr>
          <w:rFonts w:hint="eastAsia" w:ascii="宋体" w:hAnsi="宋体" w:eastAsia="宋体" w:cs="宋体"/>
          <w:b/>
          <w:bCs/>
          <w:kern w:val="2"/>
          <w:sz w:val="24"/>
          <w:szCs w:val="24"/>
          <w:highlight w:val="none"/>
          <w:lang w:eastAsia="zh"/>
          <w:woUserID w:val="1"/>
        </w:rPr>
        <w:t>5.4</w:t>
      </w:r>
      <w:r>
        <w:rPr>
          <w:rFonts w:hint="eastAsia" w:ascii="宋体" w:hAnsi="宋体" w:eastAsia="宋体" w:cs="宋体"/>
          <w:b/>
          <w:bCs/>
          <w:kern w:val="2"/>
          <w:sz w:val="24"/>
          <w:szCs w:val="24"/>
          <w:highlight w:val="none"/>
          <w:woUserID w:val="1"/>
        </w:rPr>
        <w:t>机械设备要求</w:t>
      </w:r>
    </w:p>
    <w:p w14:paraId="0055BEA9">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（1）响应人提供的设备应功能完整、技术先进，能满足人身安全和劳保条件。</w:t>
      </w:r>
    </w:p>
    <w:p w14:paraId="5AB70AB6">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（2）所有设备均正确设计和制造，在正常工况下均能安全、持续运行，而无过度的应力、振动、温升、磨损、腐蚀、老化等其他问题，响应人应提供优于本要求的先进、成熟、可靠的设备及部件。</w:t>
      </w:r>
    </w:p>
    <w:p w14:paraId="629E04F9">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（3）设备零部件应采用先进、可靠的加工制造技术，应有良好的表面几何形状及合适的公差配合。所用钢材均必须进行预处理，有效地提高钢结构件的防腐能力。各金属结构件焊接结构均应符合焊接技术标准。</w:t>
      </w:r>
    </w:p>
    <w:p w14:paraId="6965BDEB">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（4）响应人不得提供带有试制性质部件。</w:t>
      </w:r>
    </w:p>
    <w:p w14:paraId="7FC8D94C">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（5）易于磨损、腐蚀、老化或需要调整、检查和更换的部件应提供备用品，并能方便地拆换和修理。所有重型部件均有便于安装和维修的起吊和搬运条件。</w:t>
      </w:r>
    </w:p>
    <w:p w14:paraId="60994C5A">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6）所用的材料及零部件（或元器件）均符合有关规范的要求，且是新的和优质的，并能满足当地环境条件的要求。外购配套件选用优质、节能、先进的产品，并有生产许可证、产品检验合格证、装配图，不采用国家颁布的淘汰产品。重要部件应取得采购人认可或采购人指定；目前国内产品质量尚不过关的部件，应选用进口产品。响应人应对外购部件及材料进行检验，并对其质量负责。</w:t>
      </w:r>
    </w:p>
    <w:p w14:paraId="53F2C868">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（7）所使用的配件应有良好的互换性且符合国家标准，不得使用非标件。</w:t>
      </w:r>
    </w:p>
    <w:p w14:paraId="2163ADC5">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（8）所有外露的转动部件均应设置防护罩，且便于拆卸。人员易于达到的运动部位设置防护栏和平台、扶梯，但不妨碍维修工作。所有栏杆等的设计必须符合电力行业相关标准要求。</w:t>
      </w:r>
    </w:p>
    <w:p w14:paraId="669AAF2F">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9）露天工作的电动机、制动器均设置防护、防雨罩并便于拆卸。户外安装的电动机有防结露措施。所有外漏的电气设备及元件均有防护、防雨水、防晒、防尘、防潮等设施。露天的控制柜、控制箱、接线盒采用不锈钢材质（304材质）,对外壳进行喷塑，</w:t>
      </w:r>
    </w:p>
    <w:p w14:paraId="36B7E7E4">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（10）电动机、减速器重量在20kg及以上时提供带环形螺栓、吊钩或其他能安全起吊的装置；电动机、减速器重量在200kg及以上时应设计安装起吊装置，减速机要求采用优质品牌。</w:t>
      </w:r>
    </w:p>
    <w:p w14:paraId="721853AC">
      <w:pPr>
        <w:keepNext w:val="0"/>
        <w:keepLines w:val="0"/>
        <w:widowControl w:val="0"/>
        <w:suppressLineNumbers w:val="0"/>
        <w:spacing w:before="120" w:beforeAutospacing="0" w:after="0" w:afterAutospacing="0" w:line="360" w:lineRule="auto"/>
        <w:ind w:left="210" w:leftChars="100" w:right="0" w:firstLine="240" w:firstLineChars="1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11）各转动部件必须转动灵活，不得有卡阻现象。润滑部分密封良好，不得有油脂渗漏现象。轴承温升一般不得大于40℃。且轴承温度不超过70℃。轴承座采用全密封形式。所有电机、减速机需配备冬季用低温润滑油脂，避免冬季出现冻结凝固情况。液压系统及部件（如果有）在组装前进行清洗，组装后密封良好、无冲击和漏油现象。油箱温升一般不高于环境温度30C，但油箱油温一定不得超过60℃，一般控制在30℃～50℃范围内。采用液压系统的需配有夏季及冬季用液压油，温度范围为-40℃～40℃。外露的转动部件均应设置防护罩，且应便于拆卸。设备中的结构件钢材在下料前需进行喷丸预处理，设备及部件的噪声必须符合国家有关标准规定的要求。</w:t>
      </w:r>
    </w:p>
    <w:p w14:paraId="1D74F9AB">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12）各设备采用的轴承使用寿命不小于50000小时，破碎机的轴承还应满足振动的要求。所有轴承座具有良好的润滑和密封，防止煤尘进入，并设置加油杯。所有轴承须采用全密封结构，如具备条件应采用轴承座外置方式，便于后期运行检查维护，同时加装清扫装置。</w:t>
      </w:r>
    </w:p>
    <w:p w14:paraId="033B7F86">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（13）各设备采用硬齿面减速器，减速器上设置可拆卸的观察窗，放油口螺栓采用磁性塞，减速器使用寿命不小于50000小时，减速器齿轮精度不低于ISO6级，齿轮硬度HRC56，减速器还应考虑热功率的影响。</w:t>
      </w:r>
    </w:p>
    <w:p w14:paraId="3B0D6D1C">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（14）系统表面完整、光滑、色泽均匀、没有明显斑点、皱纹、气泡和粘附污物。漆膜附着力应符合GB/T9286中规定的2级质量要求；镀层表面色泽均匀、无露底、起皮和明显的擦伤、划痕等缺陷。</w:t>
      </w:r>
    </w:p>
    <w:p w14:paraId="3E72B783">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（15）设备及部件的噪声均符合国家有关标准规定的要求。空载噪声值不大于85分贝。必要时可加装隔音设施、防护罩等。</w:t>
      </w:r>
    </w:p>
    <w:p w14:paraId="4298EA68">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（16）系统在合适高度安装安全设施（检修平台）和可开闭的检查门（或窗），并留有足够的检修空间，便于检查和维修。</w:t>
      </w:r>
    </w:p>
    <w:p w14:paraId="331A757A">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（17）响应人对外购材料及部件进行检验，并对其质量负全责。</w:t>
      </w:r>
    </w:p>
    <w:p w14:paraId="7DB6A57D">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18）所有设备、电机的铭牌应采用耐腐蚀的金属板制造，铭牌应安放在运行人员容易看到的地方。铭牌上应刻有耐磨损的下列内容：制造厂名称、设备名称、设备型号、主要技术参数、出厂日期编码、出厂检验编码。</w:t>
      </w:r>
    </w:p>
    <w:p w14:paraId="565AAF0B">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（19）所有的设备标识牌，房间门牌等标牌均由响应人负责。制作前由采购人确认内容、型号、规格。</w:t>
      </w:r>
    </w:p>
    <w:p w14:paraId="1B5AD017">
      <w:pPr>
        <w:keepNext w:val="0"/>
        <w:keepLines w:val="0"/>
        <w:widowControl w:val="0"/>
        <w:suppressLineNumbers w:val="0"/>
        <w:spacing w:before="12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none"/>
          <w:vertAlign w:val="baseline"/>
          <w:woUserID w:val="1"/>
        </w:rPr>
      </w:pPr>
      <w:r>
        <w:rPr>
          <w:rFonts w:hint="eastAsia" w:ascii="宋体" w:hAnsi="宋体" w:eastAsia="宋体" w:cs="宋体"/>
          <w:kern w:val="2"/>
          <w:sz w:val="24"/>
          <w:szCs w:val="24"/>
          <w:highlight w:val="none"/>
          <w:vertAlign w:val="baseline"/>
          <w:lang w:val="en-US" w:eastAsia="zh-CN" w:bidi="ar"/>
          <w:woUserID w:val="1"/>
        </w:rPr>
        <w:t xml:space="preserve">（20）所有设备和技术方案必须由采购人审核通过后确定。施工过程中采购人有权对此工程设计方案及落后设备进行更换，且不再承担任何费用，响应人提供的设计方案和设备须为2020年至今内行业最先进水平。 </w:t>
      </w:r>
    </w:p>
    <w:p w14:paraId="17DD26CF">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（21） 检修起吊设施</w:t>
      </w:r>
    </w:p>
    <w:p w14:paraId="143215A1">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1）对于重量超过100kg需要更换部件、设备等应提供起吊设施或起吊环。</w:t>
      </w:r>
    </w:p>
    <w:p w14:paraId="3D6A6F1E">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2）对于检修维护用起吊重量超过500kg时，应设永久性起吊装置。</w:t>
      </w:r>
    </w:p>
    <w:p w14:paraId="31DC6A8D">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3）对于起吊重量超过3吨或起吊高度超过5米时应设电动起吊装置。</w:t>
      </w:r>
    </w:p>
    <w:p w14:paraId="03835F35">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4）设置单轨应使起吊设备能从安装地点移到卡车上或检修场地而不需更换吊车。</w:t>
      </w:r>
    </w:p>
    <w:p w14:paraId="4C0725C0">
      <w:pPr>
        <w:keepNext w:val="0"/>
        <w:keepLines w:val="0"/>
        <w:widowControl w:val="0"/>
        <w:suppressLineNumbers w:val="0"/>
        <w:spacing w:before="120" w:beforeAutospacing="0" w:after="0" w:afterAutospacing="0" w:line="360" w:lineRule="auto"/>
        <w:ind w:left="420" w:leftChars="200" w:right="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5）起重设施包括电动葫芦（吊车）和/或手动链式葫芦，安装于I字轨道上的或固定物上的，以及永久性的和可移动的。</w:t>
      </w:r>
    </w:p>
    <w:p w14:paraId="661A9344">
      <w:pPr>
        <w:keepNext w:val="0"/>
        <w:keepLines w:val="0"/>
        <w:widowControl w:val="0"/>
        <w:suppressLineNumbers w:val="0"/>
        <w:spacing w:before="120" w:beforeAutospacing="0" w:after="0" w:afterAutospacing="0" w:line="360" w:lineRule="auto"/>
        <w:ind w:left="420" w:leftChars="200" w:right="0" w:firstLine="0" w:firstLineChars="0"/>
        <w:jc w:val="both"/>
        <w:textAlignment w:val="baseline"/>
        <w:rPr>
          <w:rFonts w:hint="eastAsia" w:ascii="宋体" w:hAnsi="宋体" w:eastAsia="宋体" w:cs="宋体"/>
          <w:color w:val="000000"/>
          <w:kern w:val="2"/>
          <w:sz w:val="24"/>
          <w:szCs w:val="24"/>
          <w:highlight w:val="none"/>
          <w:vertAlign w:val="baseline"/>
          <w:woUserID w:val="1"/>
        </w:rPr>
      </w:pPr>
      <w:r>
        <w:rPr>
          <w:rFonts w:hint="eastAsia" w:ascii="宋体" w:hAnsi="宋体" w:eastAsia="宋体" w:cs="宋体"/>
          <w:color w:val="000000"/>
          <w:kern w:val="2"/>
          <w:sz w:val="24"/>
          <w:szCs w:val="24"/>
          <w:highlight w:val="none"/>
          <w:vertAlign w:val="baseline"/>
          <w:lang w:val="en-US" w:eastAsia="zh-CN" w:bidi="ar"/>
          <w:woUserID w:val="1"/>
        </w:rPr>
        <w:t>6）响应人必须向招标人提交一份清册，包括起吊位置、起吊设备名称，说明数量、型号、额定起重量和使用材料的强度特性。</w:t>
      </w:r>
    </w:p>
    <w:p w14:paraId="5E38BE8F">
      <w:pPr>
        <w:pStyle w:val="6"/>
        <w:widowControl/>
        <w:spacing w:line="360" w:lineRule="auto"/>
        <w:jc w:val="both"/>
        <w:rPr>
          <w:rFonts w:hint="eastAsia" w:ascii="宋体" w:hAnsi="宋体" w:eastAsia="宋体" w:cs="宋体"/>
          <w:b/>
          <w:bCs/>
          <w:kern w:val="2"/>
          <w:sz w:val="24"/>
          <w:szCs w:val="24"/>
          <w:highlight w:val="none"/>
          <w:woUserID w:val="1"/>
        </w:rPr>
      </w:pPr>
      <w:r>
        <w:rPr>
          <w:rFonts w:hint="eastAsia" w:ascii="宋体" w:hAnsi="宋体" w:eastAsia="宋体" w:cs="宋体"/>
          <w:b/>
          <w:bCs/>
          <w:kern w:val="2"/>
          <w:sz w:val="24"/>
          <w:szCs w:val="24"/>
          <w:highlight w:val="none"/>
          <w:lang w:eastAsia="zh"/>
          <w:woUserID w:val="1"/>
        </w:rPr>
        <w:t>5.5</w:t>
      </w:r>
      <w:r>
        <w:rPr>
          <w:rFonts w:hint="eastAsia" w:ascii="宋体" w:hAnsi="宋体" w:eastAsia="宋体" w:cs="宋体"/>
          <w:b/>
          <w:bCs/>
          <w:kern w:val="2"/>
          <w:sz w:val="24"/>
          <w:szCs w:val="24"/>
          <w:highlight w:val="none"/>
          <w:woUserID w:val="1"/>
        </w:rPr>
        <w:t>电气、控制系统要求</w:t>
      </w:r>
    </w:p>
    <w:p w14:paraId="49E29EB6">
      <w:pPr>
        <w:keepNext w:val="0"/>
        <w:keepLines w:val="0"/>
        <w:widowControl w:val="0"/>
        <w:suppressLineNumbers w:val="0"/>
        <w:spacing w:before="120" w:beforeAutospacing="0" w:after="0" w:afterAutospacing="0" w:line="360" w:lineRule="auto"/>
        <w:ind w:left="0" w:right="0" w:firstLine="420" w:firstLineChars="200"/>
        <w:jc w:val="both"/>
        <w:textAlignment w:val="baseline"/>
        <w:rPr>
          <w:rFonts w:hint="eastAsia" w:ascii="宋体" w:hAnsi="宋体" w:eastAsia="宋体" w:cs="宋体"/>
          <w:kern w:val="2"/>
          <w:sz w:val="21"/>
          <w:szCs w:val="21"/>
          <w:highlight w:val="none"/>
          <w:vertAlign w:val="baseline"/>
          <w:woUserID w:val="1"/>
        </w:rPr>
      </w:pPr>
      <w:r>
        <w:rPr>
          <w:rFonts w:hint="eastAsia" w:ascii="宋体" w:hAnsi="宋体" w:eastAsia="宋体" w:cs="宋体"/>
          <w:kern w:val="2"/>
          <w:sz w:val="21"/>
          <w:szCs w:val="21"/>
          <w:highlight w:val="none"/>
          <w:vertAlign w:val="baseline"/>
          <w:lang w:val="en-US" w:eastAsia="zh-CN" w:bidi="ar"/>
          <w:woUserID w:val="1"/>
        </w:rPr>
        <w:t xml:space="preserve"> （1）电气设备绝缘性应符合GB/T15479，主回路对地绝缘电阻在一般环境下应≥1.0MΩ；机构运行控制电路中，应有防止工作人员误操作的保护措施；传动件均应安装防护罩；可能存在不安全因素的部件和部位应有明显的安全警示。</w:t>
      </w:r>
    </w:p>
    <w:p w14:paraId="7CF451EC">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2）控制系统中一次、二次元器件均采用ABB、施耐德、西门子等进口品牌或同等综合性能的其他品牌，本工程所使用的全部PLC品牌必须一致。各子系统之间的通讯必须保持一致，TCP/IP或标准MODBSU通讯；I/O点留有10%以上的余量。控制箱内的一次、二次元件在西门子、施耐德、ABB或同等综合性能的其他品牌内选择，热继电器要求自复位功能（11kW以上使用电动机保护器），保证远程跳闸后能自动复位，端子留有20%余量。。</w:t>
      </w:r>
    </w:p>
    <w:p w14:paraId="6C7F91E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FF0000"/>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（3）对于需要快开或快关的气动调节阀若配供电磁阀，则电磁阀与气动阀一体化安装。执行器（气缸）品质应参照或相当于银川英奥特，杭州杭辅，广州高胜，亚德客品牌产品 ，电磁阀品质应参照或相当于ASCO、SMC、HAWIKOR品牌产品。响应人设计并提供供气设备，气源压力为0.5～0.8MPa。当选用气动执行器时，对于有故障保位要求的气动执行机构，应配置保位阀。具有三断保位功能，即断电、断气、断信号保位。</w:t>
      </w:r>
    </w:p>
    <w:p w14:paraId="66A559AF">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（4）电气控制柜防护等级应不小于IP54，绝缘等级为F级。箱体采用不小于2mm厚喷塑不锈钢材料制作。控制箱如布置在室外需有防雨防尘措施，且防火封堵必须符合相关标准。</w:t>
      </w:r>
    </w:p>
    <w:p w14:paraId="6F825802">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（5）本工程所使用的全部PLC品牌建议保持一致，建议采用西门子品牌，保持系统的完整性及一致性，便于采购人原控制系统备品备件可以通用，减少后期维护成本。</w:t>
      </w:r>
    </w:p>
    <w:p w14:paraId="0C39BD57">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（6）为保证设备质量，工程竣工后响应人需提供本地化服务，如现场有调试需求，应在24小时内到达现场处理。质保期后提供有偿服务。</w:t>
      </w:r>
    </w:p>
    <w:p w14:paraId="7829D8EF">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（7）本工程所涉及的所有仪控设备、材料及其施工均在本规范书范围内，由响应人负责。</w:t>
      </w:r>
    </w:p>
    <w:p w14:paraId="611627DE">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（8）本工程所涉及配电室、控制室必须配备相应的空调，由响应人负责。</w:t>
      </w:r>
    </w:p>
    <w:p w14:paraId="23590CE0">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（9）本工程采制样工作现场照明灯具，就地控制箱等电气设备的防护等级不低于IP65且具备相应的防爆功能。</w:t>
      </w:r>
    </w:p>
    <w:p w14:paraId="18BEF441">
      <w:pPr>
        <w:keepNext w:val="0"/>
        <w:keepLines w:val="0"/>
        <w:widowControl w:val="0"/>
        <w:suppressLineNumbers w:val="0"/>
        <w:spacing w:before="0" w:beforeAutospacing="0" w:after="0" w:afterAutospacing="0" w:line="360" w:lineRule="auto"/>
        <w:ind w:left="0" w:right="0"/>
        <w:jc w:val="both"/>
        <w:rPr>
          <w:rFonts w:hint="default" w:ascii="Calibri" w:hAnsi="Calibri" w:eastAsia="宋体" w:cs="Times New Roman"/>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 xml:space="preserve">    （10）本工程新增建筑必须满足建筑电气设计安装要求，必须具有应急指示等相关设施。</w:t>
      </w:r>
    </w:p>
    <w:p w14:paraId="6B12659B">
      <w:pPr>
        <w:pStyle w:val="14"/>
        <w:keepNext w:val="0"/>
        <w:keepLines w:val="0"/>
        <w:widowControl/>
        <w:suppressLineNumbers w:val="0"/>
        <w:tabs>
          <w:tab w:val="left" w:pos="737"/>
        </w:tabs>
        <w:spacing w:before="0" w:beforeAutospacing="0" w:after="0" w:afterAutospacing="0"/>
        <w:ind w:left="0" w:right="0"/>
        <w:jc w:val="both"/>
        <w:rPr>
          <w:rFonts w:hint="default" w:ascii="Calibri" w:hAnsi="Calibri" w:eastAsia="黑体" w:cs="Times New Roman"/>
          <w:b/>
          <w:bCs/>
          <w:kern w:val="2"/>
          <w:sz w:val="21"/>
          <w:szCs w:val="21"/>
          <w:highlight w:val="none"/>
          <w:woUserID w:val="1"/>
        </w:rPr>
      </w:pPr>
      <w:r>
        <w:rPr>
          <w:rFonts w:hint="default" w:ascii="Calibri" w:hAnsi="Calibri" w:eastAsia="黑体" w:cs="Times New Roman"/>
          <w:b/>
          <w:bCs/>
          <w:kern w:val="2"/>
          <w:sz w:val="21"/>
          <w:szCs w:val="21"/>
          <w:highlight w:val="none"/>
          <w:lang w:val="en-US" w:eastAsia="zh-CN" w:bidi="ar"/>
          <w:woUserID w:val="1"/>
        </w:rPr>
        <w:t xml:space="preserve"> </w:t>
      </w:r>
    </w:p>
    <w:p w14:paraId="32F912F1">
      <w:pPr>
        <w:keepNext w:val="0"/>
        <w:keepLines w:val="0"/>
        <w:widowControl w:val="0"/>
        <w:suppressLineNumbers w:val="0"/>
        <w:snapToGrid w:val="0"/>
        <w:spacing w:before="0" w:beforeAutospacing="0" w:after="0" w:afterAutospacing="0" w:line="360" w:lineRule="auto"/>
        <w:ind w:left="0" w:leftChars="0" w:right="0"/>
        <w:jc w:val="both"/>
        <w:rPr>
          <w:rFonts w:hint="eastAsia" w:ascii="宋体" w:hAnsi="宋体"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六、清洁，油漆，包装，运输与储存</w:t>
      </w:r>
    </w:p>
    <w:p w14:paraId="102F3444">
      <w:pPr>
        <w:pStyle w:val="6"/>
        <w:keepNext/>
        <w:keepLines/>
        <w:widowControl w:val="0"/>
        <w:suppressLineNumbers w:val="0"/>
        <w:tabs>
          <w:tab w:val="left" w:pos="570"/>
        </w:tabs>
        <w:snapToGrid w:val="0"/>
        <w:spacing w:line="360" w:lineRule="auto"/>
        <w:jc w:val="both"/>
        <w:rPr>
          <w:rFonts w:hint="eastAsia" w:ascii="宋体" w:hAnsi="宋体" w:eastAsia="宋体" w:cs="Times New Roman"/>
          <w:b/>
          <w:bCs/>
          <w:kern w:val="2"/>
          <w:sz w:val="24"/>
          <w:szCs w:val="24"/>
          <w:highlight w:val="none"/>
          <w:woUserID w:val="1"/>
        </w:rPr>
      </w:pPr>
      <w:r>
        <w:rPr>
          <w:rFonts w:hint="eastAsia" w:ascii="宋体" w:hAnsi="宋体" w:eastAsia="宋体" w:cs="宋体"/>
          <w:b/>
          <w:bCs/>
          <w:kern w:val="2"/>
          <w:sz w:val="24"/>
          <w:szCs w:val="24"/>
          <w:highlight w:val="none"/>
          <w:woUserID w:val="1"/>
        </w:rPr>
        <w:t>1 、清洁，油漆</w:t>
      </w:r>
    </w:p>
    <w:p w14:paraId="21D78E9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组装前从每个零部件内部清除全部加工垃圾，如金属切削、填充物等，从内外表面清除所有轧屑、锈皮、油脂。铸件、钢构件在第一次涂层前做喷丸处理，除锈等级达到Sa2.5级。除不锈钢外的金属材料涂漆防锈。油漆选用国内较先进漆种，并能适应当地环境条件。轴承和油系统的辅助设备，如贮油箱、容器及管道的全部内表面在清洗之后应涂上合适的油溶性防锈剂。设备表面应涂三层底漆两层面漆，设备外表面的颜色应由采购人指定。</w:t>
      </w:r>
    </w:p>
    <w:p w14:paraId="358429DB">
      <w:pPr>
        <w:pStyle w:val="6"/>
        <w:keepNext/>
        <w:keepLines/>
        <w:widowControl w:val="0"/>
        <w:suppressLineNumbers w:val="0"/>
        <w:tabs>
          <w:tab w:val="left" w:pos="570"/>
        </w:tabs>
        <w:snapToGrid w:val="0"/>
        <w:spacing w:line="360" w:lineRule="auto"/>
        <w:jc w:val="both"/>
        <w:rPr>
          <w:rFonts w:hint="eastAsia" w:ascii="宋体" w:hAnsi="宋体" w:eastAsia="宋体" w:cs="Times New Roman"/>
          <w:b/>
          <w:bCs/>
          <w:kern w:val="2"/>
          <w:sz w:val="24"/>
          <w:szCs w:val="24"/>
          <w:highlight w:val="none"/>
          <w:woUserID w:val="1"/>
        </w:rPr>
      </w:pPr>
      <w:r>
        <w:rPr>
          <w:rFonts w:hint="eastAsia" w:ascii="宋体" w:hAnsi="宋体" w:eastAsia="宋体" w:cs="宋体"/>
          <w:b/>
          <w:bCs/>
          <w:kern w:val="2"/>
          <w:sz w:val="24"/>
          <w:szCs w:val="24"/>
          <w:highlight w:val="none"/>
          <w:woUserID w:val="1"/>
        </w:rPr>
        <w:t>2 、包装﹑运输</w:t>
      </w:r>
    </w:p>
    <w:p w14:paraId="08E243E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eastAsia" w:ascii="宋体" w:hAnsi="宋体"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包装应符合GB/T13384标准的规定，并采取防雨﹑防潮﹑防锈﹑防震等措施，以免在运输过程中，由于振动和碰撞引起机组金属部件、电机部件的损坏。设备出厂时，零部件的包装分类装箱，遵循适于运输、便于安装和查找的原则。备品备件和专用工具单独包装，并特别注明。</w:t>
      </w:r>
    </w:p>
    <w:p w14:paraId="6BEE8D3F">
      <w:pPr>
        <w:keepNext w:val="0"/>
        <w:keepLines w:val="0"/>
        <w:widowControl w:val="0"/>
        <w:suppressLineNumbers w:val="0"/>
        <w:kinsoku w:val="0"/>
        <w:topLinePunct/>
        <w:autoSpaceDE w:val="0"/>
        <w:autoSpaceDN w:val="0"/>
        <w:adjustRightInd w:val="0"/>
        <w:snapToGrid w:val="0"/>
        <w:spacing w:before="0" w:beforeAutospacing="0" w:after="0" w:afterAutospacing="0" w:line="360" w:lineRule="auto"/>
        <w:ind w:left="0" w:right="0"/>
        <w:jc w:val="both"/>
        <w:rPr>
          <w:rFonts w:hint="eastAsia" w:ascii="宋体" w:hAnsi="宋体"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设备发运前，将水全部放掉并吹干，且响应人确保这些部件在发运前重新装好。所有开口﹑法兰﹑接头采取保护措施，以防止在运输和储存期间遭受腐蚀﹑损伤及进入杂物。需要现场连接的螺纹孔或管座的焊接孔采用螺纹或其它方式予以保护。遮盖物﹑紧固件不焊在设备上。</w:t>
      </w:r>
    </w:p>
    <w:p w14:paraId="44479CE9">
      <w:pPr>
        <w:keepNext w:val="0"/>
        <w:keepLines w:val="0"/>
        <w:widowControl w:val="0"/>
        <w:suppressLineNumbers w:val="0"/>
        <w:snapToGrid w:val="0"/>
        <w:spacing w:before="0" w:beforeAutospacing="0" w:after="0" w:afterAutospacing="0" w:line="360" w:lineRule="auto"/>
        <w:ind w:left="0" w:right="0"/>
        <w:jc w:val="left"/>
        <w:outlineLvl w:val="0"/>
        <w:rPr>
          <w:rFonts w:hint="eastAsia" w:ascii="宋体" w:hAnsi="宋体" w:eastAsia="宋体" w:cs="宋体"/>
          <w:b/>
          <w:bCs/>
          <w:color w:val="000000"/>
          <w:kern w:val="2"/>
          <w:sz w:val="21"/>
          <w:szCs w:val="21"/>
          <w:highlight w:val="none"/>
          <w:lang w:val="en-US" w:eastAsia="zh-CN" w:bidi="ar"/>
          <w:woUserID w:val="1"/>
        </w:rPr>
      </w:pPr>
      <w:r>
        <w:rPr>
          <w:rFonts w:hint="eastAsia" w:ascii="宋体" w:hAnsi="宋体" w:eastAsia="宋体" w:cs="宋体"/>
          <w:b/>
          <w:bCs/>
          <w:color w:val="000000"/>
          <w:kern w:val="2"/>
          <w:sz w:val="21"/>
          <w:szCs w:val="21"/>
          <w:highlight w:val="none"/>
          <w:lang w:val="en-US" w:eastAsia="zh-CN" w:bidi="ar"/>
          <w:woUserID w:val="1"/>
        </w:rPr>
        <w:t>七、质保、工期</w:t>
      </w:r>
    </w:p>
    <w:p w14:paraId="430C0A46">
      <w:pPr>
        <w:keepNext w:val="0"/>
        <w:keepLines w:val="0"/>
        <w:widowControl w:val="0"/>
        <w:suppressLineNumbers w:val="0"/>
        <w:kinsoku w:val="0"/>
        <w:topLinePunct/>
        <w:autoSpaceDE w:val="0"/>
        <w:autoSpaceDN w:val="0"/>
        <w:adjustRightInd w:val="0"/>
        <w:snapToGrid w:val="0"/>
        <w:spacing w:before="0" w:beforeAutospacing="0" w:after="0" w:afterAutospacing="0" w:line="360" w:lineRule="auto"/>
        <w:ind w:left="0" w:right="0" w:firstLine="480" w:firstLineChars="200"/>
        <w:jc w:val="both"/>
        <w:rPr>
          <w:rFonts w:hint="eastAsia" w:ascii="宋体" w:hAnsi="宋体" w:eastAsia="宋体" w:cs="Times New Roman"/>
          <w:kern w:val="2"/>
          <w:sz w:val="24"/>
          <w:szCs w:val="24"/>
          <w:highlight w:val="none"/>
          <w:woUserID w:val="1"/>
        </w:rPr>
      </w:pPr>
      <w:r>
        <w:rPr>
          <w:rFonts w:hint="eastAsia" w:ascii="宋体" w:hAnsi="宋体" w:eastAsia="宋体" w:cs="宋体"/>
          <w:kern w:val="2"/>
          <w:sz w:val="24"/>
          <w:szCs w:val="24"/>
          <w:highlight w:val="none"/>
          <w:lang w:val="en-US" w:eastAsia="zh-CN" w:bidi="ar"/>
          <w:woUserID w:val="1"/>
        </w:rPr>
        <w:t>整体设备质保12个月，在质保期内出现非人为情况设备故障及损坏，由响应人免费负责维修更换；双方签订合同签字确认方案后</w:t>
      </w:r>
      <w:r>
        <w:rPr>
          <w:rFonts w:hint="eastAsia" w:ascii="宋体" w:hAnsi="宋体" w:eastAsia="宋体" w:cs="宋体"/>
          <w:kern w:val="2"/>
          <w:sz w:val="24"/>
          <w:szCs w:val="24"/>
          <w:highlight w:val="none"/>
          <w:lang w:val="en-US" w:eastAsia="zh" w:bidi="ar"/>
          <w:woUserID w:val="1"/>
        </w:rPr>
        <w:t>1</w:t>
      </w:r>
      <w:r>
        <w:rPr>
          <w:rFonts w:hint="eastAsia" w:ascii="宋体" w:hAnsi="宋体" w:eastAsia="宋体" w:cs="宋体"/>
          <w:kern w:val="2"/>
          <w:sz w:val="24"/>
          <w:szCs w:val="24"/>
          <w:highlight w:val="none"/>
          <w:lang w:val="en-US" w:eastAsia="zh-CN" w:bidi="ar"/>
          <w:woUserID w:val="1"/>
        </w:rPr>
        <w:t>个月货到现场，现场施工工期：90天。</w:t>
      </w:r>
    </w:p>
    <w:p w14:paraId="3CA8D106">
      <w:pPr>
        <w:keepNext w:val="0"/>
        <w:keepLines w:val="0"/>
        <w:widowControl w:val="0"/>
        <w:suppressLineNumbers w:val="0"/>
        <w:snapToGrid w:val="0"/>
        <w:spacing w:before="0" w:beforeAutospacing="0" w:after="0" w:afterAutospacing="0" w:line="360" w:lineRule="auto"/>
        <w:ind w:left="0" w:right="0"/>
        <w:jc w:val="left"/>
        <w:outlineLvl w:val="0"/>
        <w:rPr>
          <w:rFonts w:hint="eastAsia" w:ascii="宋体" w:hAnsi="宋体" w:eastAsia="宋体" w:cs="宋体"/>
          <w:b/>
          <w:bCs/>
          <w:color w:val="000000"/>
          <w:kern w:val="2"/>
          <w:sz w:val="21"/>
          <w:szCs w:val="21"/>
          <w:highlight w:val="none"/>
          <w:woUserID w:val="1"/>
        </w:rPr>
      </w:pPr>
      <w:r>
        <w:rPr>
          <w:rFonts w:hint="eastAsia" w:ascii="宋体" w:hAnsi="宋体" w:eastAsia="宋体" w:cs="宋体"/>
          <w:b/>
          <w:bCs/>
          <w:color w:val="000000"/>
          <w:kern w:val="2"/>
          <w:sz w:val="21"/>
          <w:szCs w:val="21"/>
          <w:highlight w:val="none"/>
          <w:lang w:val="en-US" w:eastAsia="zh-CN" w:bidi="ar"/>
          <w:woUserID w:val="1"/>
        </w:rPr>
        <w:t>八、 响应人设备检修技术质量保证措施</w:t>
      </w:r>
    </w:p>
    <w:p w14:paraId="24D5C22E">
      <w:pPr>
        <w:keepNext w:val="0"/>
        <w:keepLines w:val="0"/>
        <w:widowControl w:val="0"/>
        <w:suppressLineNumbers w:val="0"/>
        <w:spacing w:before="0" w:beforeAutospacing="0" w:after="0" w:afterAutospacing="0" w:line="360" w:lineRule="auto"/>
        <w:ind w:left="0" w:right="0"/>
        <w:jc w:val="both"/>
        <w:outlineLvl w:val="1"/>
        <w:rPr>
          <w:rFonts w:hint="eastAsia" w:ascii="宋体" w:hAnsi="宋体" w:eastAsia="宋体" w:cs="宋体"/>
          <w:b/>
          <w:bCs/>
          <w:color w:val="000000"/>
          <w:kern w:val="2"/>
          <w:sz w:val="21"/>
          <w:szCs w:val="21"/>
          <w:highlight w:val="none"/>
          <w:woUserID w:val="1"/>
        </w:rPr>
      </w:pPr>
      <w:r>
        <w:rPr>
          <w:rFonts w:hint="eastAsia" w:ascii="宋体" w:hAnsi="宋体" w:eastAsia="宋体" w:cs="宋体"/>
          <w:b/>
          <w:bCs/>
          <w:color w:val="000000"/>
          <w:kern w:val="2"/>
          <w:sz w:val="21"/>
          <w:szCs w:val="21"/>
          <w:highlight w:val="none"/>
          <w:lang w:val="en-US" w:eastAsia="zh-CN" w:bidi="ar"/>
          <w:woUserID w:val="1"/>
        </w:rPr>
        <w:t>1、 质量保证体系</w:t>
      </w:r>
    </w:p>
    <w:p w14:paraId="6570E47C">
      <w:pPr>
        <w:keepNext w:val="0"/>
        <w:keepLines w:val="0"/>
        <w:widowControl w:val="0"/>
        <w:suppressLineNumbers w:val="0"/>
        <w:spacing w:before="0" w:beforeAutospacing="0" w:after="0" w:afterAutospacing="0" w:line="360" w:lineRule="auto"/>
        <w:ind w:left="0" w:right="0" w:firstLine="420" w:firstLineChars="200"/>
        <w:jc w:val="both"/>
        <w:outlineLvl w:val="1"/>
        <w:rPr>
          <w:rFonts w:hint="eastAsia" w:ascii="宋体" w:hAnsi="宋体" w:eastAsia="宋体" w:cs="宋体"/>
          <w:b/>
          <w:bCs/>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项目经理是整个大修工程项目的第一责任人，项目技术负责人对工程质量负直接领导责任。确保质量体系与施工有效、同步运转，确保施工过程整个质量过程得到有效控制。</w:t>
      </w:r>
      <w:r>
        <w:rPr>
          <w:rFonts w:hint="eastAsia" w:ascii="宋体" w:hAnsi="宋体" w:eastAsia="宋体" w:cs="宋体"/>
          <w:b/>
          <w:bCs/>
          <w:color w:val="000000"/>
          <w:kern w:val="2"/>
          <w:sz w:val="21"/>
          <w:szCs w:val="21"/>
          <w:highlight w:val="none"/>
          <w:lang w:val="en-US" w:eastAsia="zh-CN" w:bidi="ar"/>
          <w:woUserID w:val="1"/>
        </w:rPr>
        <w:t xml:space="preserve"> </w:t>
      </w:r>
    </w:p>
    <w:p w14:paraId="01680C4B">
      <w:pPr>
        <w:keepNext w:val="0"/>
        <w:keepLines w:val="0"/>
        <w:widowControl w:val="0"/>
        <w:suppressLineNumbers w:val="0"/>
        <w:spacing w:before="0" w:beforeAutospacing="0" w:after="0" w:afterAutospacing="0" w:line="360" w:lineRule="auto"/>
        <w:ind w:left="0" w:right="0"/>
        <w:jc w:val="both"/>
        <w:outlineLvl w:val="1"/>
        <w:rPr>
          <w:rFonts w:hint="eastAsia" w:ascii="宋体" w:hAnsi="宋体" w:eastAsia="宋体" w:cs="宋体"/>
          <w:b/>
          <w:bCs/>
          <w:color w:val="000000"/>
          <w:kern w:val="2"/>
          <w:sz w:val="21"/>
          <w:szCs w:val="21"/>
          <w:highlight w:val="none"/>
          <w:woUserID w:val="1"/>
        </w:rPr>
      </w:pPr>
      <w:r>
        <w:rPr>
          <w:rFonts w:hint="eastAsia" w:ascii="宋体" w:hAnsi="宋体" w:eastAsia="宋体" w:cs="宋体"/>
          <w:b/>
          <w:bCs/>
          <w:color w:val="000000"/>
          <w:kern w:val="2"/>
          <w:sz w:val="21"/>
          <w:szCs w:val="21"/>
          <w:highlight w:val="none"/>
          <w:lang w:val="en-US" w:eastAsia="zh-CN" w:bidi="ar"/>
          <w:woUserID w:val="1"/>
        </w:rPr>
        <w:t>2、 质量职责</w:t>
      </w:r>
    </w:p>
    <w:p w14:paraId="625CF4D8">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2.1项目经理</w:t>
      </w:r>
    </w:p>
    <w:p w14:paraId="0C52C17A">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2.1.1项目经理是工程项目的第一责任人，对项目工程质量负全责。</w:t>
      </w:r>
    </w:p>
    <w:p w14:paraId="138F8565">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2.1.2贯彻执行国家和上级颁布的有关质量方针政策、法令、规范、规程和标准，并监督检查执行情况。</w:t>
      </w:r>
    </w:p>
    <w:p w14:paraId="2E59DA74">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2.1.3负责组织建立健全项目质量体系，配备必要的资源。</w:t>
      </w:r>
    </w:p>
    <w:p w14:paraId="2FD2192C">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2.1.4 执行公司的管理方针、质量目标，结合工程实际情况，将项目的工程质量目标和计划、措施落实到各检修班组。明确项目经理部各层次的质量责任。</w:t>
      </w:r>
    </w:p>
    <w:p w14:paraId="12F12699">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2.1.5 负责施工全过程质量管理和质量保证的具体实施，掌握工程质量情况，召开项目质量会议，组织项目质量检查。</w:t>
      </w:r>
    </w:p>
    <w:p w14:paraId="3BB067D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2.1.6 负责职工质量意识教育，必要时开展QC小组活动。</w:t>
      </w:r>
    </w:p>
    <w:p w14:paraId="7518757F">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2.1.7 对工程施工过程中的各种质量记录的准确性、及时性、齐全性负责。</w:t>
      </w:r>
    </w:p>
    <w:p w14:paraId="1065E752">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 项目技术负责人</w:t>
      </w:r>
    </w:p>
    <w:p w14:paraId="3CD1CAF9">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2.2.1 在项目经理领导和公司指导下，贯彻执行川南发电公司和行业有关质量方面的管理制度和规定。</w:t>
      </w:r>
    </w:p>
    <w:p w14:paraId="6C2DBED9">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2.2.2 领导项目部质量管理工作，对工程质量负全责。</w:t>
      </w:r>
    </w:p>
    <w:p w14:paraId="0B031886">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2.2.3 在项目经理领导下保证质保体系的正常运行，依据计划合理安排检查、试验人员。</w:t>
      </w:r>
    </w:p>
    <w:p w14:paraId="21D6E90E">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2.2.4 组织专业工程师、质检员进行工程质量评定，开展质量检查和质量分析活动。</w:t>
      </w:r>
    </w:p>
    <w:p w14:paraId="362A2140">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2.2.5 每周（月）定期向内、外部报道项目质量信息，并及时通报质量工作开展情况，定期进行质量活动分析。</w:t>
      </w:r>
    </w:p>
    <w:p w14:paraId="01992CAC">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2.2.6 组织接受采购人和有关部门对工程质量的监督、检查和对存在问题的处理工作。</w:t>
      </w:r>
    </w:p>
    <w:p w14:paraId="6DDA0F14">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2.2.7 负责对质量事故进行调查和处理，按照质量奖惩办法，对工程质量实施奖惩。</w:t>
      </w:r>
    </w:p>
    <w:p w14:paraId="0D909B45">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 xml:space="preserve">2.2.8 编制工程项目质量创优规划，并组织实施。 </w:t>
      </w:r>
    </w:p>
    <w:p w14:paraId="6ACCA733">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2.3 专业工程师</w:t>
      </w:r>
    </w:p>
    <w:p w14:paraId="626E02F8">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2.3.1 在项目技术负责人的领导下，对本专业的维护工作实行过程控制和指导。</w:t>
      </w:r>
    </w:p>
    <w:p w14:paraId="32A53216">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宋体" w:hAnsi="宋体" w:eastAsia="宋体" w:cs="宋体"/>
          <w:color w:val="000000"/>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2.3.2 编制或审核本专业维护方案、技术措施；指导、督促检修班组进行实施。</w:t>
      </w:r>
    </w:p>
    <w:p w14:paraId="719627C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color w:val="000000"/>
          <w:kern w:val="2"/>
          <w:sz w:val="21"/>
          <w:szCs w:val="21"/>
          <w:highlight w:val="none"/>
          <w:lang w:val="en-US" w:eastAsia="zh-CN" w:bidi="ar"/>
          <w:woUserID w:val="1"/>
        </w:rPr>
        <w:t>2.3.3 处理本专业维护工作中的技术、质量问题，参加本专业不合格的分析和处理会议，</w:t>
      </w:r>
      <w:r>
        <w:rPr>
          <w:rFonts w:hint="eastAsia" w:ascii="宋体" w:hAnsi="宋体" w:eastAsia="宋体" w:cs="宋体"/>
          <w:kern w:val="2"/>
          <w:sz w:val="21"/>
          <w:szCs w:val="21"/>
          <w:highlight w:val="none"/>
          <w:lang w:val="en-US" w:eastAsia="zh-CN" w:bidi="ar"/>
          <w:woUserID w:val="1"/>
        </w:rPr>
        <w:t>按规定编制或审核纠正预防措施，并监督措施的实施。</w:t>
      </w:r>
    </w:p>
    <w:p w14:paraId="3B6A54E4">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2.3.4 负责审定本专业的人员资格，指导工作，考核业绩，定期向技术负责人汇报，并监督措施的实施。</w:t>
      </w:r>
    </w:p>
    <w:p w14:paraId="01414B5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2.3.5 参加质量分析，讨论不合格品的处理方案。</w:t>
      </w:r>
    </w:p>
    <w:p w14:paraId="400ABDB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 质量计划</w:t>
      </w:r>
    </w:p>
    <w:p w14:paraId="61D71A3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 质量目标</w:t>
      </w:r>
    </w:p>
    <w:p w14:paraId="0B5F974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 检修质量优良率≥95%，合格率100％；</w:t>
      </w:r>
    </w:p>
    <w:p w14:paraId="44AD925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 杜绝重大质量责任事故，控制一般质量事故和记录性事故；</w:t>
      </w:r>
    </w:p>
    <w:p w14:paraId="465C3E3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 质量管理和质量保证体系符合GB/T19001-2000标准要求。</w:t>
      </w:r>
    </w:p>
    <w:p w14:paraId="2FC4453D">
      <w:pPr>
        <w:keepNext w:val="0"/>
        <w:keepLines w:val="0"/>
        <w:widowControl w:val="0"/>
        <w:suppressLineNumbers w:val="0"/>
        <w:snapToGrid w:val="0"/>
        <w:spacing w:before="0" w:beforeAutospacing="0" w:after="0" w:afterAutospacing="0" w:line="360" w:lineRule="auto"/>
        <w:ind w:left="0" w:right="0"/>
        <w:jc w:val="left"/>
        <w:outlineLvl w:val="0"/>
        <w:rPr>
          <w:rFonts w:hint="eastAsia" w:ascii="宋体" w:hAnsi="宋体" w:eastAsia="宋体" w:cs="宋体"/>
          <w:b/>
          <w:bCs/>
          <w:color w:val="000000"/>
          <w:kern w:val="2"/>
          <w:sz w:val="21"/>
          <w:szCs w:val="21"/>
          <w:highlight w:val="none"/>
          <w:woUserID w:val="1"/>
        </w:rPr>
      </w:pPr>
      <w:r>
        <w:rPr>
          <w:rFonts w:hint="eastAsia" w:ascii="宋体" w:hAnsi="宋体" w:eastAsia="宋体" w:cs="宋体"/>
          <w:b/>
          <w:bCs/>
          <w:color w:val="000000"/>
          <w:kern w:val="2"/>
          <w:sz w:val="21"/>
          <w:szCs w:val="21"/>
          <w:highlight w:val="none"/>
          <w:lang w:val="en-US" w:eastAsia="zh-CN" w:bidi="ar"/>
          <w:woUserID w:val="1"/>
        </w:rPr>
        <w:t>九、 响应人设备检修安全保证措施</w:t>
      </w:r>
    </w:p>
    <w:p w14:paraId="7503084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1 、安全 、文明保证体系</w:t>
      </w:r>
    </w:p>
    <w:p w14:paraId="4795367C">
      <w:pPr>
        <w:keepNext w:val="0"/>
        <w:keepLines w:val="0"/>
        <w:widowControl w:val="0"/>
        <w:suppressLineNumbers w:val="0"/>
        <w:snapToGrid w:val="0"/>
        <w:spacing w:before="0" w:beforeAutospacing="0" w:after="0" w:afterAutospacing="0" w:line="360" w:lineRule="auto"/>
        <w:ind w:left="0" w:right="0" w:firstLine="420" w:firstLineChars="20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项目经理是工程项目的第一安全责任人，项目安全负责人对工程安全、文明负直接领导责任。确保安全 、文明体系与检修工作有效、同步运转，确保检修过程中整个安全 、文明过程得到有效控制。</w:t>
      </w:r>
    </w:p>
    <w:p w14:paraId="5ECC7A5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2、 安全职责</w:t>
      </w:r>
    </w:p>
    <w:p w14:paraId="716BCDF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2.1项目经理</w:t>
      </w:r>
    </w:p>
    <w:p w14:paraId="117209F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2.1.1项目经理是工程项目的安全第一责任人，对项目工程安全负全责。</w:t>
      </w:r>
    </w:p>
    <w:p w14:paraId="2BA265A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2.1.2依据上级有关规定和采购人指令或要求，针对检修工程具体情况，组织制定检修安全、文明标准化检修、维护施工的实施办法及项目管理体系。</w:t>
      </w:r>
    </w:p>
    <w:p w14:paraId="5183F78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2.1.3督促专管人员认真履行职责，贯彻有关制度、规定和办法，并检查其贯彻效果。</w:t>
      </w:r>
    </w:p>
    <w:p w14:paraId="008F0F1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 安全培训负责人</w:t>
      </w:r>
    </w:p>
    <w:p w14:paraId="7E3E49D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2.2.1 认真贯彻执行安全生产文明施工的各项规章制度。</w:t>
      </w:r>
    </w:p>
    <w:p w14:paraId="51161D3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2.2.2 督促各专业检修班组认真执行各项施工安全管理制度。</w:t>
      </w:r>
    </w:p>
    <w:p w14:paraId="5A7AE12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2.2.3 实行对维护、检修施工现场全天候巡回检查，及时纠正作业人员违章现象，使安全生产、文明施工始终处于有效受控状态。</w:t>
      </w:r>
    </w:p>
    <w:p w14:paraId="1A4849E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2.2.4 依据施工现场作业部位的变化，负责提出动态的、有效的具体安全防范措施。</w:t>
      </w:r>
    </w:p>
    <w:p w14:paraId="5502CDB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2.2.5 负责编制各类安全警示标记及安全设施的采购计划。</w:t>
      </w:r>
    </w:p>
    <w:p w14:paraId="69D25F9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2.2.6 发生安全事故时，组织保护现场、救治伤员，调查情况，提出事故报告。</w:t>
      </w:r>
    </w:p>
    <w:p w14:paraId="3C8243D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 各专业安全员（兼职）</w:t>
      </w:r>
    </w:p>
    <w:p w14:paraId="2BB443C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2.3.1 认真执行项目部制定的安全、文明施工实施办法。把项目安全文明体系的管理要素落实到专业检修班组。</w:t>
      </w:r>
    </w:p>
    <w:p w14:paraId="718CBB7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2.3.2 对专业检修班组进行作业前的安全技术交底，并做好记录。</w:t>
      </w:r>
    </w:p>
    <w:p w14:paraId="736523F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2.3.3 在有危险作业时，提出具体安全防范措施，经项目部批准后，协助检修班组实施。</w:t>
      </w:r>
    </w:p>
    <w:p w14:paraId="02D7462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2.4 班组安全员（兼职）</w:t>
      </w:r>
    </w:p>
    <w:p w14:paraId="7405A76B">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2.4.1 依据项目部制定的安全、文明施工实施办法，在具体作业时，有针对性地落实到位。</w:t>
      </w:r>
    </w:p>
    <w:p w14:paraId="52D4061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2.4.2 随时检查本检修班组作业人员安全操作状态，及时纠正违章现象。</w:t>
      </w:r>
    </w:p>
    <w:p w14:paraId="443ADE2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2.4.3 有动火作业或用电设备需移位时，向专业安全员及时汇报，办理有关手续，经确认安全状态符合要求，方可开始作业，并对动火作业实施全过程监护。</w:t>
      </w:r>
    </w:p>
    <w:p w14:paraId="6C7DD51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2.4.4 负责本专业维护、检修现场的清扫整理，不使材料、机具乱丢乱放，对检修中的垃圾装袋清理，送到指定存放地点，以便集中处理。</w:t>
      </w:r>
    </w:p>
    <w:p w14:paraId="56BA8D5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b/>
          <w:bCs/>
          <w:kern w:val="2"/>
          <w:sz w:val="21"/>
          <w:szCs w:val="21"/>
          <w:highlight w:val="none"/>
          <w:woUserID w:val="1"/>
        </w:rPr>
      </w:pPr>
      <w:r>
        <w:rPr>
          <w:rFonts w:hint="eastAsia" w:ascii="宋体" w:hAnsi="宋体" w:eastAsia="宋体" w:cs="宋体"/>
          <w:b/>
          <w:bCs/>
          <w:kern w:val="2"/>
          <w:sz w:val="21"/>
          <w:szCs w:val="21"/>
          <w:highlight w:val="none"/>
          <w:lang w:val="en-US" w:eastAsia="zh-CN" w:bidi="ar"/>
          <w:woUserID w:val="1"/>
        </w:rPr>
        <w:t>3、 基本安全文明措施</w:t>
      </w:r>
    </w:p>
    <w:p w14:paraId="77215BC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 贯彻执行“安全第一，预防为主”的安全生产方针，保持项目生产安全。配备专职安监人员，加强劳动保护用品的配备，提高检修人员劳动保护意识。</w:t>
      </w:r>
    </w:p>
    <w:p w14:paraId="41AE3AC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 贯彻执行国家及各级人民政府关于安全生产的一系列方针、政策、法规、条例和规定，采取一切必要措施和手段强化检修、维护服务安全管理。提高检修水平，确定严格的安全、文明检修秩序以保证人员和设备在维护检修服务工作中的健康与安全。</w:t>
      </w:r>
    </w:p>
    <w:p w14:paraId="562AEE1B">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 严格执行电力行业安全工作规程如《电业安全工作规程》、《电业生产事故调查规程》、《电力建设安全工作规程》、《防止电力生产重大事故的二十五项重点要求》的有关规定，遵守采购人各项安全管理规章制度，服从采购人对安全文明生产的管理和检查、考核。</w:t>
      </w:r>
    </w:p>
    <w:p w14:paraId="71FB1A6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3.4 遵守和执行文明生产的规章制度，按照采购人的要求统一着装，佩带标志。全面关照和提醒所有在检修现场上工作或停留的人员注意安全，保持管辖范围内的设施处于有条不紊的状态，以免发生人身事故。</w:t>
      </w:r>
    </w:p>
    <w:p w14:paraId="3E80CBD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3.5 在需要的时间和地点，根据业主或有关行政部门的要求，提供和维持所有灯光、护板、栅栏、警告信号必要时应派人值班，以及进行保护或为公众提供安全和方便。未经办理有关手续不得随意在设备、结构、墙板、楼道上开孔或焊接临时结构。</w:t>
      </w:r>
    </w:p>
    <w:p w14:paraId="43DCBB0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3.6 预防或最大限度地减少对附近环境的干扰，以避免因维护检修服务引起的污染、噪声和其它因素对公众或公众财产等造成伤害或妨碍。保持本项目范围内环境干净、卫生、整洁。</w:t>
      </w:r>
    </w:p>
    <w:p w14:paraId="497D643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3.7 每天定时对本项目范围内的地面进行卫生清扫，定点向外运送垃圾，定期对建、构筑物楼梯、栏杆、扶手等进行卫生清理、打扫。</w:t>
      </w:r>
    </w:p>
    <w:p w14:paraId="4335F0E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3.8 本项目范围内任何公共设施或财产（包括但不限于树木、草坪、道路、照明）不得损坏。</w:t>
      </w:r>
    </w:p>
    <w:p w14:paraId="2BB685B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3.9 检修现场临时设施标准化，有序不乱，创造一个良好的生产、工作环境。</w:t>
      </w:r>
    </w:p>
    <w:p w14:paraId="7316BA6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3.10 检修现场做到材料、机具、设备、构件和周转材料整齐堆放，施行定置管理，施工场地、道路平整干净。</w:t>
      </w:r>
    </w:p>
    <w:p w14:paraId="2152D13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3.11 检修场所的剩余材料及时回收，做到“工完、料尽、场地清”。</w:t>
      </w:r>
    </w:p>
    <w:p w14:paraId="4A18699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3.12 检修现场管理人员和个人应戴分色或有区别的安全帽，管理人员戴袖章或标志。</w:t>
      </w:r>
    </w:p>
    <w:p w14:paraId="4706B1FF">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3.13 脚手架搭设标准、规范化，做到验收挂牌使用。</w:t>
      </w:r>
    </w:p>
    <w:p w14:paraId="198EEA9C">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3.14 检修现场做到机械设备整洁，安全保护措施齐全可靠，标识醒目。</w:t>
      </w:r>
    </w:p>
    <w:p w14:paraId="59CA7DE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3.15 施工现场制定防火制度并设置明显的防火标志，责任到人，配备足够的消防器材，防火疏散道路通道畅通。</w:t>
      </w:r>
    </w:p>
    <w:p w14:paraId="3DA9F2F4">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3.16 对参与本工程施工的人员进行社会公德、职业道德、职业记律的教育，妥善处理检修现场友邻单位的关系，争取各有关单位人员的谅解和支持，控制施工噪声和粉尘，确保生产机组的正常运行。</w:t>
      </w:r>
    </w:p>
    <w:p w14:paraId="3C19278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3.17 临时施工用电路线架设符合安全要求，电源盘箱配置标准化盘箱，照明布置合理，照度足够。</w:t>
      </w:r>
    </w:p>
    <w:p w14:paraId="7EBD9BC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3.18 加强现场安全保卫工作，严格控制非检修人员进入施工现场。</w:t>
      </w:r>
    </w:p>
    <w:p w14:paraId="735D5D3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3.19 检修工作开始前必须向全体作业人员进行安全技术交底，让作业人员了解和掌握工程特点及施工安全措施。</w:t>
      </w:r>
    </w:p>
    <w:p w14:paraId="2E1E4E8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3.20 在有危险性的生产区域，如可能发生火灾、爆炸、触电、高空坠落、中毒、窒息、机械伤害、烧烫伤等容易引起人员伤害和设备事故的场所作业前，应制定安全措施并经业主审查合格后严格实施。</w:t>
      </w:r>
    </w:p>
    <w:p w14:paraId="4132272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3.21 满足四川泸州川南发电有限责任公司对文明生产工作的要求，遵守现场文明生产管理的有关规定，保持现场整洁、有序，作业时做到“三无”（无油迹、无水、无灰），“三齐”（拆下的零部件摆放整齐、检修机具摆放整齐、材料备品摆放整齐），“三不乱”（电线不乱拉、管路不乱放、杂物不乱丢），“三不落地”（拆下的设备、零部件不落地，工器具不落地，材料备品配件不落地），每天收工前场地清扫干净，做到工完、料尽、场地清。</w:t>
      </w:r>
    </w:p>
    <w:p w14:paraId="0A04A64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3.22 行车操作人员必须经过培训，持证上岗。</w:t>
      </w:r>
    </w:p>
    <w:p w14:paraId="68604FF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3.23 检修设备及施工材料应存放有序，保证通道畅通，场地干净卫生。</w:t>
      </w:r>
    </w:p>
    <w:p w14:paraId="686FB05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3.24 严格按照：“工完、料尽、场地清”施工，一切废油、棉纱应随时清理干净。</w:t>
      </w:r>
    </w:p>
    <w:p w14:paraId="5C703E8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3.25 高处作业应拴合格的安全带，工器具要放在工具包内或用绳索拴牢使用、传递。使用的脚手架应搭设牢固，架板安好并拴牢。</w:t>
      </w:r>
    </w:p>
    <w:p w14:paraId="7530E78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3.26 电动工具、气动工具必须经检验合格，使用时应遵守安全规程规定，在容器内禁止使用超过12V的电动工具。</w:t>
      </w:r>
    </w:p>
    <w:p w14:paraId="297FE8F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3.27 对影响现场文明生产的设备问题要提出合理建议，协助采购人采取必要的措施进行改造，从而达到从根本上治理，实现生产现场物见本色的目标。</w:t>
      </w:r>
    </w:p>
    <w:p w14:paraId="58E84BD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3.28 实行文明作业，工具、图纸、材料摆放整齐，要特别注意工器具不要随意脱手，应放在橡胶垫或木材垫板上，以防地砖损坏。检修完工后经运行验收方可结束工作票。</w:t>
      </w:r>
    </w:p>
    <w:p w14:paraId="36EFCDB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3.29 按采购人规定每星期进行安全文明生产联合检查活动，对检查出的问题认真组织人员及时给予整改。</w:t>
      </w:r>
    </w:p>
    <w:p w14:paraId="37EC05F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3.30 现场严禁吸烟。</w:t>
      </w:r>
    </w:p>
    <w:p w14:paraId="3703217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3.32 设备标牌齐全醒目、准确、规范。</w:t>
      </w:r>
    </w:p>
    <w:p w14:paraId="4BFC2A1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3.34 检修后设备及基础周围无垃圾、积水、积煤、积粉等。</w:t>
      </w:r>
    </w:p>
    <w:p w14:paraId="45EA5A3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3.35 遵守所有采购人的有关文明作业的规章制度，文明检修工艺纪律。同时我方将采取措施履行如下责任：</w:t>
      </w:r>
    </w:p>
    <w:p w14:paraId="43D0F62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3.35.1 为了保护设备或其他人员的安全及方便，在采购人所要求的时间和地点，以一定的费用实现以上效果的实施。</w:t>
      </w:r>
    </w:p>
    <w:p w14:paraId="2821713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3.35.2 以一定的的费用采取适当的措施，确保工作人员和劳务人员的健康和安全。</w:t>
      </w:r>
    </w:p>
    <w:p w14:paraId="3B2D022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3.35.3 在任何时候均应采取一切合理的预防措施，以防止我方人员或在人员之中发生任何违法的、暴乱性的或妨害治安的行为，并维护治安和保护厂区附近的个人或财产免遭上述行为的破坏。</w:t>
      </w:r>
    </w:p>
    <w:p w14:paraId="4F63F02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3.36易燃品管理</w:t>
      </w:r>
    </w:p>
    <w:p w14:paraId="31CA24EB">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3.36.1 应使用供应商所提供的易燃品包装物，并明显标示类别。</w:t>
      </w:r>
    </w:p>
    <w:p w14:paraId="0CEF383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3.36.2进入易燃品库禁带火种，不能穿能产生静电的化纤服装。</w:t>
      </w:r>
    </w:p>
    <w:p w14:paraId="1FDFDA7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3.36.3工作人员必须小心谨慎处理易燃品，必须使用正确的卸货程序以避免包装损坏或工作人员受到伤害。</w:t>
      </w:r>
    </w:p>
    <w:p w14:paraId="4783802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3.36.4易燃物卸下后，必须及时使用专用工具移往储存区。硬纸箱应待送到储存区才开启，以免在卸货时箱内的易燃物有散落的危险。</w:t>
      </w:r>
    </w:p>
    <w:p w14:paraId="3FD90F6C">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highlight w:val="none"/>
          <w:woUserID w:val="1"/>
        </w:rPr>
      </w:pPr>
      <w:r>
        <w:rPr>
          <w:rFonts w:hint="eastAsia" w:ascii="宋体" w:hAnsi="宋体" w:eastAsia="宋体" w:cs="宋体"/>
          <w:kern w:val="2"/>
          <w:sz w:val="21"/>
          <w:szCs w:val="21"/>
          <w:highlight w:val="none"/>
          <w:lang w:val="en-US" w:eastAsia="zh-CN" w:bidi="ar"/>
          <w:woUserID w:val="1"/>
        </w:rPr>
        <w:t>3.36.5油桶可用滚动的方式送到储存的地方。由两名工人滚动油桶以控制其速度。将易燃物储存于厂内指定的地方，绝不应储放靠近蒸气管道或加热器的区域。</w:t>
      </w:r>
    </w:p>
    <w:p w14:paraId="7CA32DA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highlight w:val="none"/>
          <w:lang w:val="en-US" w:eastAsia="zh-CN" w:bidi="ar"/>
          <w:woUserID w:val="1"/>
        </w:rPr>
        <w:t>3.36.7易燃物库房应安装货架，并附设起吊台，平稳安放。各类别的易燃物应有系统地排列，方便取用。已储存较久的应先使用，不宜被新到的存货</w:t>
      </w:r>
      <w:bookmarkEnd w:id="4"/>
      <w:r>
        <w:rPr>
          <w:rFonts w:hint="eastAsia" w:ascii="宋体" w:hAnsi="宋体" w:eastAsia="宋体" w:cs="宋体"/>
          <w:kern w:val="2"/>
          <w:sz w:val="21"/>
          <w:szCs w:val="21"/>
          <w:lang w:val="en-US" w:eastAsia="zh-CN" w:bidi="ar"/>
          <w:woUserID w:val="1"/>
        </w:rPr>
        <w:t>阻挡提用。</w:t>
      </w:r>
    </w:p>
    <w:p w14:paraId="67011524">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3.36.8 只允许工作人员进入易燃品库，无关人员禁止进入。</w:t>
      </w:r>
    </w:p>
    <w:p w14:paraId="369BF9E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3.36.9 禁止穿钉有铁掌的鞋子进入易燃品库。</w:t>
      </w:r>
    </w:p>
    <w:p w14:paraId="6B15373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3.36.10 将易燃物储存于户外是不良的做法。但若基于空间的原因必须存放于室外时，就应采取预防措施，将不良的后果减至最低。</w:t>
      </w:r>
    </w:p>
    <w:p w14:paraId="286EEE7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3.36.11 其它易燃物必须遵守其具体存放规则。</w:t>
      </w:r>
    </w:p>
    <w:p w14:paraId="5FA7877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3.36.12 尽量勿让易燃物受潮和受到阳光直接照射。</w:t>
      </w:r>
    </w:p>
    <w:p w14:paraId="2595107C">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3.36.13 易燃品库内一切电气设备检修维护应在停电状态下进行。</w:t>
      </w:r>
    </w:p>
    <w:p w14:paraId="10C3D5E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3.36.14开启油桶应使用专用扳手或铜、铝制工具，不能敲击油桶，取油后应立即关好桶盖。</w:t>
      </w:r>
    </w:p>
    <w:p w14:paraId="76A1399F">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3.36.15 长期接触润滑油可能会引起皮肤过敏，应使用合适的防护用品。</w:t>
      </w:r>
    </w:p>
    <w:p w14:paraId="235E45FB">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3.36.16 工作人员应遵守之细则：</w:t>
      </w:r>
    </w:p>
    <w:p w14:paraId="15339C8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3.36.17 在无法使用防渗透手套时，可在工作前在皮肤上擦拭适当的防油性护手霜。</w:t>
      </w:r>
    </w:p>
    <w:p w14:paraId="04EDFD46">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3.36.18不可将被油污染的擦布放在衣服口袋中，特别是裤袋中。</w:t>
      </w:r>
    </w:p>
    <w:p w14:paraId="0F63B12B">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3.36.19切勿用脏抹布擦去皮肤上的油迹，因擦布中可能藏有的金属碎屑有擦伤皮肤而引发感染的可能性。</w:t>
      </w:r>
    </w:p>
    <w:p w14:paraId="055BEFC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3.36.20 经常(特别在工作后)清洗皮肤。切勿用汽油或煤油清洁皮肤，应用肥皂或中性洗涤剂进行清洗。洗涤后可用面霜保护皮肤。</w:t>
      </w:r>
    </w:p>
    <w:p w14:paraId="2C7AE81E">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3.36.21 切勿穿着油迹渗透的衣物，工作服应经常换洗，特别小心避免日常衣物(尤其是内衣裤)被油迹沾染。</w:t>
      </w:r>
    </w:p>
    <w:p w14:paraId="23A75E2A">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3.36.22 如发现身体任何部分出现疹，疮或瘤等，应立即向上级报告，加以治疗。</w:t>
      </w:r>
    </w:p>
    <w:p w14:paraId="768E54E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3.36.23 配备适当的医疗设备和急救用品。设专人负责，确保上述措施的执行。</w:t>
      </w:r>
    </w:p>
    <w:p w14:paraId="2248E80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 xml:space="preserve">3.37 气瓶的运输、储存、使用安全措施 </w:t>
      </w:r>
    </w:p>
    <w:p w14:paraId="3531E174">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3.37.1 在运输、储存和使用过程中避免气瓶受到激烈振动和碰撞冲击。搬运气瓶时，必须旋紧瓶帽，轻装、轻卸、严禁从高处抛下或在地面上滚动或撞击。</w:t>
      </w:r>
    </w:p>
    <w:p w14:paraId="520D7310">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3.37.2在运输、储存和使用过程中，要防止气瓶直接受热。在夏季要有遮阳设施，防止暴晒。</w:t>
      </w:r>
    </w:p>
    <w:p w14:paraId="3D142932">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3.37.3 可燃、助燃性气体气瓶，与明火的距离一般不得小于10米。</w:t>
      </w:r>
    </w:p>
    <w:p w14:paraId="5496500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3.37.4 运输可燃性气体气瓶时车上必须备有灭火器。易燃品、油脂和带有油污的物品，不得与氧气瓶或强氧化剂气瓶同车运输。</w:t>
      </w:r>
    </w:p>
    <w:p w14:paraId="354458E7">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3.37.5 氧气瓶、乙炔瓶内气体不能用尽，压力降至0.196Kp时，禁止继续使用，并挂上“空瓶”的标志牌。</w:t>
      </w:r>
    </w:p>
    <w:p w14:paraId="4CDED1F8">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3.37.6 氧气阀门只准使用专用扳手开启，不准使用凿子、榔头开启。乙炔阀门应用特殊的键开启。</w:t>
      </w:r>
    </w:p>
    <w:p w14:paraId="2989FB89">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3.37.7 工作地点，最多只允许有两个氧气瓶，一个工作，一个备用；最多储存的乙炔气瓶不得超过5瓶。使用中的氧气瓶和乙炔瓶应垂直放置并固定，氧气瓶和乙炔瓶的距离不得小于8米。</w:t>
      </w:r>
    </w:p>
    <w:p w14:paraId="7CC5D9B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3.37.8 严禁使用没有减压阀的氧气瓶，以及没有减压阀、回火防止阀的乙炔气瓶，严禁装有气体的氧气气瓶与电线接触，不得将乙炔气瓶放置在通风不良的有放射性射线的场所，以及不得放在橡胶等绝缘物件上。</w:t>
      </w:r>
    </w:p>
    <w:p w14:paraId="6B4A4CAD">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3.37.9 在焊接过程中禁止将带有油迹的衣服、手套和其它沾有油脂的工具物品与氧气瓶软管及接头相接触。</w:t>
      </w:r>
    </w:p>
    <w:p w14:paraId="64D370A4">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3.37.10焊割时，发现回火或发觉有倒吸声音，应立即关闭焊割炬的乙炔阀门，再关闭氧气阀。稍停后，开启氧气阀，把焊割炬内的灰吹吊，恢复正常后使用。若输气胶管或减压器爆炸燃烧时，应立即关闭瓶阀。</w:t>
      </w:r>
    </w:p>
    <w:p w14:paraId="3F4BFC2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3.37.11 如发现瓶阀、瓶体等部位漏汽时，应立即停止使用，把乙炔瓶移至安全地点妥善处理。</w:t>
      </w:r>
    </w:p>
    <w:p w14:paraId="1847A973">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3.37.12当瓶阀、瓶体处因漏汽而着火时，应用干粉、二氧化碳等灭火器灭火，同时用水冷却瓶壁，以防进一步发生危险。严禁使用四氯化碳灭火器灭火。</w:t>
      </w:r>
    </w:p>
    <w:p w14:paraId="617034F5">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3.37.13 如发现瓶壁温度异常升高时，应立即停止使用，并用大量水喷淋冷却。</w:t>
      </w:r>
    </w:p>
    <w:p w14:paraId="240BE9E1">
      <w:pPr>
        <w:keepNext w:val="0"/>
        <w:keepLines w:val="0"/>
        <w:widowControl w:val="0"/>
        <w:suppressLineNumbers w:val="0"/>
        <w:snapToGrid w:val="0"/>
        <w:spacing w:before="0" w:beforeAutospacing="0" w:after="0" w:afterAutospacing="0" w:line="360" w:lineRule="auto"/>
        <w:ind w:left="0" w:right="0"/>
        <w:jc w:val="left"/>
        <w:rPr>
          <w:rFonts w:hint="eastAsia" w:ascii="宋体" w:hAnsi="宋体" w:eastAsia="宋体" w:cs="宋体"/>
          <w:b/>
          <w:bCs/>
          <w:kern w:val="2"/>
          <w:sz w:val="21"/>
          <w:szCs w:val="21"/>
          <w:woUserID w:val="1"/>
        </w:rPr>
      </w:pPr>
      <w:r>
        <w:rPr>
          <w:rFonts w:hint="eastAsia" w:ascii="宋体" w:hAnsi="宋体" w:eastAsia="宋体" w:cs="宋体"/>
          <w:b/>
          <w:bCs/>
          <w:kern w:val="2"/>
          <w:sz w:val="21"/>
          <w:szCs w:val="21"/>
          <w:lang w:val="en-US" w:eastAsia="zh-CN" w:bidi="ar"/>
          <w:woUserID w:val="1"/>
        </w:rPr>
        <w:t>4 、制定隐患检查程序，实行预防为主的方针</w:t>
      </w:r>
    </w:p>
    <w:p w14:paraId="6D151A16">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b/>
          <w:bCs/>
          <w:kern w:val="2"/>
          <w:sz w:val="21"/>
          <w:szCs w:val="21"/>
          <w:lang w:val="en-US" w:eastAsia="zh-CN" w:bidi="ar"/>
          <w:woUserID w:val="1"/>
        </w:rPr>
        <w:t xml:space="preserve"> </w:t>
      </w:r>
      <w:r>
        <w:rPr>
          <w:rFonts w:hint="eastAsia" w:ascii="宋体" w:hAnsi="宋体" w:eastAsia="宋体" w:cs="宋体"/>
          <w:kern w:val="2"/>
          <w:sz w:val="21"/>
          <w:szCs w:val="21"/>
          <w:lang w:val="en-US" w:eastAsia="zh-CN" w:bidi="ar"/>
          <w:woUserID w:val="1"/>
        </w:rPr>
        <w:t xml:space="preserve"> 为达到预防为主的方针，我们制定《安全隐患检查程序》。整个安全管理过程，安全监督等都必须严格按此程序施工，从而对安全保证工作起到有力的促进作用 。该项工程有安全监督员负责实施和运行平衡，起到预防为主目的。</w:t>
      </w:r>
    </w:p>
    <w:p w14:paraId="609108B2">
      <w:pPr>
        <w:keepNext w:val="0"/>
        <w:keepLines w:val="0"/>
        <w:widowControl w:val="0"/>
        <w:suppressLineNumbers w:val="0"/>
        <w:snapToGrid w:val="0"/>
        <w:spacing w:before="0" w:beforeAutospacing="0" w:after="0" w:afterAutospacing="0" w:line="360" w:lineRule="auto"/>
        <w:ind w:left="0" w:right="0"/>
        <w:jc w:val="left"/>
        <w:outlineLvl w:val="0"/>
        <w:rPr>
          <w:rFonts w:hint="eastAsia" w:ascii="宋体" w:hAnsi="宋体" w:eastAsia="宋体" w:cs="宋体"/>
          <w:b/>
          <w:bCs/>
          <w:color w:val="000000"/>
          <w:kern w:val="2"/>
          <w:sz w:val="21"/>
          <w:szCs w:val="21"/>
          <w:woUserID w:val="1"/>
        </w:rPr>
      </w:pPr>
      <w:r>
        <w:rPr>
          <w:rFonts w:hint="eastAsia" w:ascii="宋体" w:hAnsi="宋体" w:eastAsia="宋体" w:cs="宋体"/>
          <w:b/>
          <w:bCs/>
          <w:color w:val="000000"/>
          <w:kern w:val="2"/>
          <w:sz w:val="21"/>
          <w:szCs w:val="21"/>
          <w:lang w:val="en-US" w:eastAsia="zh-CN" w:bidi="ar"/>
          <w:woUserID w:val="1"/>
        </w:rPr>
        <w:t>十、档案资料</w:t>
      </w:r>
    </w:p>
    <w:p w14:paraId="3711B61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1、响应人必须接受采购人对档案资料管理的监督、指导。</w:t>
      </w:r>
    </w:p>
    <w:p w14:paraId="413F69D3">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2、响应人必须建立并完善档案管理的专门机构和人员，现场项目部应有专职档案管理人员完成与档案有关的日常工作。</w:t>
      </w:r>
    </w:p>
    <w:p w14:paraId="56C4764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3、响应人在项目完成后，须整理归纳相关施工文件，包含：</w:t>
      </w:r>
    </w:p>
    <w:p w14:paraId="56FF62AB">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工程准备：施工单位施工组织设计、开工审批、施工方案/措施</w:t>
      </w:r>
    </w:p>
    <w:p w14:paraId="68590250">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安全管理：安全措施、方案</w:t>
      </w:r>
    </w:p>
    <w:p w14:paraId="11DCB39B">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进度管理：工程网络计划、进度计划</w:t>
      </w:r>
    </w:p>
    <w:p w14:paraId="643B0FCE">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质量管理：质量验收划分表、质控文件、作业指导书以及技术交底、设计更改、施工记录</w:t>
      </w:r>
    </w:p>
    <w:p w14:paraId="0022BA20">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物资管理：开箱记录、设备材料出厂报告与质量证明文件</w:t>
      </w:r>
    </w:p>
    <w:p w14:paraId="7C2C2432">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环保管理：环保管理措施</w:t>
      </w:r>
    </w:p>
    <w:p w14:paraId="51F828B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4、响应人应按照国家有关档案管理的规定，对本改造工程的建设资料收集、分类、归档保存，竣工后移交采购人。</w:t>
      </w:r>
    </w:p>
    <w:p w14:paraId="12BE8778">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5、响应人的档案资料编制应满足电力行业要求。</w:t>
      </w:r>
    </w:p>
    <w:p w14:paraId="5F9B89C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6、所有资料均由响应人整理、出版并移交采购人3套归档。</w:t>
      </w:r>
    </w:p>
    <w:p w14:paraId="0A0438C6">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7、响应人应在工程移交生产后1个月以内将全部竣工资料提交采购人。</w:t>
      </w:r>
    </w:p>
    <w:p w14:paraId="22AB7390">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8、交、竣工资料的整理必须与工程施工同步，产品检验和试验前，工程技术人员必须把全部施工记录整理好，交采购人审查。工程竣工后，全部交（竣）工资料应整理好并办理移交手续。</w:t>
      </w:r>
    </w:p>
    <w:p w14:paraId="70A4974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9、工程技术人员在施工过程中原则上不调动，若确需调动，必须办理书面交接记录，移交已整理合格的工程交工资料，交接双方签字认可，做到人走资料清。</w:t>
      </w:r>
    </w:p>
    <w:p w14:paraId="2C4C4536">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10、工程竣工档案、设备资料移交考核</w:t>
      </w:r>
    </w:p>
    <w:p w14:paraId="58FC4E81">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响应人应在工程移交生产后1个月以内未将全部竣工资料提交采购人，逾期未交者，每延期一天扣罚500元，同时为保证竣工资料及设备资料的齐全，在工程及设备结算付款及质保金支付时，实行档案人员签字制定，档案人员未在“付款申请单”上签字，财务部不予付款，但罚款并不减轻响应人对档案管理应负的任何责任。</w:t>
      </w:r>
    </w:p>
    <w:p w14:paraId="0397C3D9">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woUserID w:val="1"/>
        </w:rPr>
        <w:sectPr>
          <w:pgSz w:w="12242" w:h="15842"/>
          <w:pgMar w:top="1440" w:right="1800" w:bottom="1440" w:left="1800" w:header="851" w:footer="992" w:gutter="0"/>
          <w:cols w:space="425" w:num="1"/>
          <w:docGrid w:type="lines" w:linePitch="312" w:charSpace="0"/>
        </w:sectPr>
      </w:pPr>
    </w:p>
    <w:p w14:paraId="598053A2">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p>
    <w:p w14:paraId="26CFD14A">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p>
    <w:p w14:paraId="40C8B433">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p>
    <w:p w14:paraId="3E55DF4D">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sectPr>
          <w:pgSz w:w="11906" w:h="16838"/>
          <w:pgMar w:top="1440" w:right="1800" w:bottom="1440" w:left="1800" w:header="851" w:footer="992" w:gutter="0"/>
          <w:cols w:space="425" w:num="1"/>
          <w:docGrid w:type="lines" w:linePitch="312" w:charSpace="0"/>
        </w:sectPr>
      </w:pPr>
    </w:p>
    <w:p w14:paraId="1FEA725E">
      <w:pPr>
        <w:keepNext w:val="0"/>
        <w:keepLines w:val="0"/>
        <w:widowControl w:val="0"/>
        <w:suppressLineNumbers w:val="0"/>
        <w:spacing w:before="156" w:beforeLines="50" w:beforeAutospacing="0" w:after="156" w:afterLines="50" w:afterAutospacing="0"/>
        <w:ind w:left="0" w:right="0"/>
        <w:jc w:val="center"/>
        <w:outlineLvl w:val="0"/>
        <w:rPr>
          <w:rFonts w:hint="eastAsia" w:ascii="仿宋_GB2312" w:hAnsi="宋体" w:eastAsia="宋体" w:cs="宋体"/>
          <w:b/>
          <w:bCs/>
          <w:color w:val="000000"/>
          <w:kern w:val="2"/>
          <w:sz w:val="28"/>
          <w:szCs w:val="28"/>
        </w:rPr>
      </w:pPr>
      <w:r>
        <w:rPr>
          <w:rFonts w:hint="eastAsia" w:ascii="宋体" w:hAnsi="宋体" w:eastAsia="宋体" w:cs="宋体"/>
          <w:b/>
          <w:bCs/>
          <w:color w:val="000000"/>
          <w:kern w:val="0"/>
          <w:sz w:val="28"/>
          <w:szCs w:val="28"/>
          <w:lang w:val="en-US" w:eastAsia="zh-CN" w:bidi="ar"/>
        </w:rPr>
        <w:t>附件</w:t>
      </w:r>
      <w:bookmarkEnd w:id="3"/>
      <w:r>
        <w:rPr>
          <w:rFonts w:hint="eastAsia" w:ascii="宋体" w:hAnsi="宋体" w:eastAsia="宋体" w:cs="宋体"/>
          <w:b/>
          <w:bCs/>
          <w:color w:val="000000"/>
          <w:kern w:val="0"/>
          <w:sz w:val="28"/>
          <w:szCs w:val="28"/>
          <w:lang w:val="en-US" w:eastAsia="zh-CN" w:bidi="ar"/>
        </w:rPr>
        <w:t>：</w:t>
      </w:r>
      <w:r>
        <w:rPr>
          <w:rFonts w:hint="eastAsia" w:ascii="宋体" w:hAnsi="宋体" w:eastAsia="宋体" w:cs="宋体"/>
          <w:b/>
          <w:bCs/>
          <w:color w:val="000000"/>
          <w:kern w:val="2"/>
          <w:sz w:val="28"/>
          <w:szCs w:val="28"/>
          <w:lang w:val="en-US" w:eastAsia="zh-CN" w:bidi="ar"/>
        </w:rPr>
        <w:t>检修质量、进度考核实施细则</w:t>
      </w:r>
    </w:p>
    <w:tbl>
      <w:tblPr>
        <w:tblStyle w:val="16"/>
        <w:tblpPr w:leftFromText="180" w:rightFromText="180" w:vertAnchor="text" w:horzAnchor="page" w:tblpXSpec="center" w:tblpY="846"/>
        <w:tblOverlap w:val="never"/>
        <w:tblW w:w="11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912"/>
        <w:gridCol w:w="1912"/>
        <w:gridCol w:w="1912"/>
        <w:gridCol w:w="1914"/>
        <w:gridCol w:w="1914"/>
      </w:tblGrid>
      <w:tr w14:paraId="4B4C1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912" w:type="dxa"/>
            <w:vAlign w:val="center"/>
          </w:tcPr>
          <w:p w14:paraId="22ACA397">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序号</w:t>
            </w:r>
          </w:p>
        </w:tc>
        <w:tc>
          <w:tcPr>
            <w:tcW w:w="1912" w:type="dxa"/>
            <w:vAlign w:val="center"/>
          </w:tcPr>
          <w:p w14:paraId="08F17C86">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考核内容</w:t>
            </w:r>
          </w:p>
        </w:tc>
        <w:tc>
          <w:tcPr>
            <w:tcW w:w="1912" w:type="dxa"/>
            <w:vAlign w:val="center"/>
          </w:tcPr>
          <w:p w14:paraId="62C1571C">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考核标准</w:t>
            </w:r>
          </w:p>
        </w:tc>
        <w:tc>
          <w:tcPr>
            <w:tcW w:w="1912" w:type="dxa"/>
            <w:vAlign w:val="center"/>
          </w:tcPr>
          <w:p w14:paraId="18848576">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被考核部门</w:t>
            </w:r>
          </w:p>
        </w:tc>
        <w:tc>
          <w:tcPr>
            <w:tcW w:w="1914" w:type="dxa"/>
            <w:vAlign w:val="center"/>
          </w:tcPr>
          <w:p w14:paraId="378BB838">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部门扣奖</w:t>
            </w:r>
          </w:p>
        </w:tc>
        <w:tc>
          <w:tcPr>
            <w:tcW w:w="1914" w:type="dxa"/>
            <w:vAlign w:val="center"/>
          </w:tcPr>
          <w:p w14:paraId="7D0921B4">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考核部门</w:t>
            </w:r>
          </w:p>
        </w:tc>
      </w:tr>
      <w:tr w14:paraId="1AEA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35A4315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w:t>
            </w:r>
          </w:p>
        </w:tc>
        <w:tc>
          <w:tcPr>
            <w:tcW w:w="1912" w:type="dxa"/>
            <w:vAlign w:val="center"/>
          </w:tcPr>
          <w:p w14:paraId="11A1B7F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修前管理</w:t>
            </w:r>
          </w:p>
        </w:tc>
        <w:tc>
          <w:tcPr>
            <w:tcW w:w="1912" w:type="dxa"/>
            <w:vAlign w:val="center"/>
          </w:tcPr>
          <w:p w14:paraId="0E660D9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5E8BB1F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DF3227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802F65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720C4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3EB13F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w:t>
            </w:r>
          </w:p>
        </w:tc>
        <w:tc>
          <w:tcPr>
            <w:tcW w:w="1912" w:type="dxa"/>
            <w:vAlign w:val="center"/>
          </w:tcPr>
          <w:p w14:paraId="73C9E9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主要材料、备品未按时到货</w:t>
            </w:r>
          </w:p>
        </w:tc>
        <w:tc>
          <w:tcPr>
            <w:tcW w:w="1912" w:type="dxa"/>
            <w:vAlign w:val="center"/>
          </w:tcPr>
          <w:p w14:paraId="2EBD7B0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开工前15天必须到货验收</w:t>
            </w:r>
          </w:p>
        </w:tc>
        <w:tc>
          <w:tcPr>
            <w:tcW w:w="1912" w:type="dxa"/>
            <w:vAlign w:val="top"/>
          </w:tcPr>
          <w:p w14:paraId="3E3D830F">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w:t>
            </w:r>
          </w:p>
        </w:tc>
        <w:tc>
          <w:tcPr>
            <w:tcW w:w="1914" w:type="dxa"/>
            <w:vAlign w:val="center"/>
          </w:tcPr>
          <w:p w14:paraId="36254C1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090A34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8D3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EB8565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1.2</w:t>
            </w:r>
          </w:p>
        </w:tc>
        <w:tc>
          <w:tcPr>
            <w:tcW w:w="1912" w:type="dxa"/>
            <w:vAlign w:val="center"/>
          </w:tcPr>
          <w:p w14:paraId="4D1354F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产品无“三证”</w:t>
            </w:r>
          </w:p>
        </w:tc>
        <w:tc>
          <w:tcPr>
            <w:tcW w:w="1912" w:type="dxa"/>
            <w:vAlign w:val="center"/>
          </w:tcPr>
          <w:p w14:paraId="14622BF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无“三证”产品不能使用</w:t>
            </w:r>
          </w:p>
        </w:tc>
        <w:tc>
          <w:tcPr>
            <w:tcW w:w="1912" w:type="dxa"/>
            <w:vAlign w:val="top"/>
          </w:tcPr>
          <w:p w14:paraId="6C2E185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物资部、设备维修部、检修单位</w:t>
            </w:r>
          </w:p>
        </w:tc>
        <w:tc>
          <w:tcPr>
            <w:tcW w:w="1914" w:type="dxa"/>
            <w:vAlign w:val="center"/>
          </w:tcPr>
          <w:p w14:paraId="1524EC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0DCB71F9">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5E4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797A9B0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1.3</w:t>
            </w:r>
          </w:p>
        </w:tc>
        <w:tc>
          <w:tcPr>
            <w:tcW w:w="1912" w:type="dxa"/>
            <w:vAlign w:val="center"/>
          </w:tcPr>
          <w:p w14:paraId="00FCD19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未经验收即领用</w:t>
            </w:r>
          </w:p>
        </w:tc>
        <w:tc>
          <w:tcPr>
            <w:tcW w:w="1912" w:type="dxa"/>
            <w:vAlign w:val="center"/>
          </w:tcPr>
          <w:p w14:paraId="5CDFFD9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领用前必须验收合格</w:t>
            </w:r>
          </w:p>
        </w:tc>
        <w:tc>
          <w:tcPr>
            <w:tcW w:w="1912" w:type="dxa"/>
            <w:vAlign w:val="center"/>
          </w:tcPr>
          <w:p w14:paraId="0CE4F3A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1ECB165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010479E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0C0A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62C7A1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1.4</w:t>
            </w:r>
          </w:p>
        </w:tc>
        <w:tc>
          <w:tcPr>
            <w:tcW w:w="1912" w:type="dxa"/>
            <w:vAlign w:val="center"/>
          </w:tcPr>
          <w:p w14:paraId="2CDFB9A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耐磨件、保温材料未取样化验</w:t>
            </w:r>
          </w:p>
        </w:tc>
        <w:tc>
          <w:tcPr>
            <w:tcW w:w="1912" w:type="dxa"/>
            <w:vAlign w:val="center"/>
          </w:tcPr>
          <w:p w14:paraId="3342FA5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必须取样化验合格后方能使用</w:t>
            </w:r>
          </w:p>
        </w:tc>
        <w:tc>
          <w:tcPr>
            <w:tcW w:w="1912" w:type="dxa"/>
            <w:vAlign w:val="top"/>
          </w:tcPr>
          <w:p w14:paraId="20BE1C55">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5BAA744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1EB6A9B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1D9B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DF0D7A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1.5</w:t>
            </w:r>
          </w:p>
        </w:tc>
        <w:tc>
          <w:tcPr>
            <w:tcW w:w="1912" w:type="dxa"/>
            <w:vAlign w:val="center"/>
          </w:tcPr>
          <w:p w14:paraId="5715DF7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新材料、新产品使用前未经鉴定批准</w:t>
            </w:r>
          </w:p>
        </w:tc>
        <w:tc>
          <w:tcPr>
            <w:tcW w:w="1912" w:type="dxa"/>
            <w:vAlign w:val="center"/>
          </w:tcPr>
          <w:p w14:paraId="47A7990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使用前必须鉴定并经有关部门批准</w:t>
            </w:r>
          </w:p>
        </w:tc>
        <w:tc>
          <w:tcPr>
            <w:tcW w:w="1912" w:type="dxa"/>
            <w:vAlign w:val="top"/>
          </w:tcPr>
          <w:p w14:paraId="21E685A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77743DC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6465BDA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B444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475A4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1.6</w:t>
            </w:r>
          </w:p>
        </w:tc>
        <w:tc>
          <w:tcPr>
            <w:tcW w:w="1912" w:type="dxa"/>
            <w:vAlign w:val="center"/>
          </w:tcPr>
          <w:p w14:paraId="2AD5524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工器具未到位</w:t>
            </w:r>
          </w:p>
        </w:tc>
        <w:tc>
          <w:tcPr>
            <w:tcW w:w="1912" w:type="dxa"/>
            <w:vAlign w:val="center"/>
          </w:tcPr>
          <w:p w14:paraId="123D848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检修前应到场</w:t>
            </w:r>
          </w:p>
        </w:tc>
        <w:tc>
          <w:tcPr>
            <w:tcW w:w="1912" w:type="dxa"/>
            <w:vAlign w:val="top"/>
          </w:tcPr>
          <w:p w14:paraId="2AB4D68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500FCE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12BD28B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ADF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07E50E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1.7</w:t>
            </w:r>
          </w:p>
        </w:tc>
        <w:tc>
          <w:tcPr>
            <w:tcW w:w="1912" w:type="dxa"/>
            <w:vAlign w:val="center"/>
          </w:tcPr>
          <w:p w14:paraId="44B809D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测量工具未经有关部门标定</w:t>
            </w:r>
          </w:p>
        </w:tc>
        <w:tc>
          <w:tcPr>
            <w:tcW w:w="1912" w:type="dxa"/>
            <w:vAlign w:val="center"/>
          </w:tcPr>
          <w:p w14:paraId="447D800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必须经有关部门标定，并在有效期内</w:t>
            </w:r>
          </w:p>
        </w:tc>
        <w:tc>
          <w:tcPr>
            <w:tcW w:w="1912" w:type="dxa"/>
            <w:vAlign w:val="center"/>
          </w:tcPr>
          <w:p w14:paraId="4A53869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ABE8CC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541CD4B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5FA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6F8271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1.8</w:t>
            </w:r>
          </w:p>
        </w:tc>
        <w:tc>
          <w:tcPr>
            <w:tcW w:w="1912" w:type="dxa"/>
            <w:vAlign w:val="center"/>
          </w:tcPr>
          <w:p w14:paraId="752BDFE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专用工具未检查或修理</w:t>
            </w:r>
          </w:p>
        </w:tc>
        <w:tc>
          <w:tcPr>
            <w:tcW w:w="1912" w:type="dxa"/>
            <w:vAlign w:val="center"/>
          </w:tcPr>
          <w:p w14:paraId="3F882A6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专用工具在修前必须检查验收合格</w:t>
            </w:r>
          </w:p>
        </w:tc>
        <w:tc>
          <w:tcPr>
            <w:tcW w:w="1912" w:type="dxa"/>
            <w:vAlign w:val="top"/>
          </w:tcPr>
          <w:p w14:paraId="587D232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92CAD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05E4986F">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B276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97873F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1.9</w:t>
            </w:r>
          </w:p>
        </w:tc>
        <w:tc>
          <w:tcPr>
            <w:tcW w:w="1912" w:type="dxa"/>
            <w:vAlign w:val="center"/>
          </w:tcPr>
          <w:p w14:paraId="1EAE607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起重工具未进行检查验收</w:t>
            </w:r>
          </w:p>
        </w:tc>
        <w:tc>
          <w:tcPr>
            <w:tcW w:w="1912" w:type="dxa"/>
            <w:vAlign w:val="center"/>
          </w:tcPr>
          <w:p w14:paraId="6A5B61B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必须检查验收合格</w:t>
            </w:r>
          </w:p>
        </w:tc>
        <w:tc>
          <w:tcPr>
            <w:tcW w:w="1912" w:type="dxa"/>
            <w:vAlign w:val="top"/>
          </w:tcPr>
          <w:p w14:paraId="0E81BB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EECB39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627C002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4A1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343843A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1.10</w:t>
            </w:r>
          </w:p>
        </w:tc>
        <w:tc>
          <w:tcPr>
            <w:tcW w:w="1912" w:type="dxa"/>
            <w:vAlign w:val="center"/>
          </w:tcPr>
          <w:p w14:paraId="62D1948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安全带未做拉力试验</w:t>
            </w:r>
          </w:p>
        </w:tc>
        <w:tc>
          <w:tcPr>
            <w:tcW w:w="1912" w:type="dxa"/>
            <w:vAlign w:val="center"/>
          </w:tcPr>
          <w:p w14:paraId="330F358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必须全面检查，并做拉力试验</w:t>
            </w:r>
          </w:p>
        </w:tc>
        <w:tc>
          <w:tcPr>
            <w:tcW w:w="1912" w:type="dxa"/>
            <w:vAlign w:val="top"/>
          </w:tcPr>
          <w:p w14:paraId="7E2DA4C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0B2DE32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493CC5A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20EA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A8B984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1.11</w:t>
            </w:r>
          </w:p>
        </w:tc>
        <w:tc>
          <w:tcPr>
            <w:tcW w:w="1912" w:type="dxa"/>
            <w:vAlign w:val="center"/>
          </w:tcPr>
          <w:p w14:paraId="6331C50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电动工具未经检查试验</w:t>
            </w:r>
          </w:p>
        </w:tc>
        <w:tc>
          <w:tcPr>
            <w:tcW w:w="1912" w:type="dxa"/>
            <w:vAlign w:val="center"/>
          </w:tcPr>
          <w:p w14:paraId="25A9A9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必须检查试验合格</w:t>
            </w:r>
          </w:p>
        </w:tc>
        <w:tc>
          <w:tcPr>
            <w:tcW w:w="1912" w:type="dxa"/>
            <w:vAlign w:val="top"/>
          </w:tcPr>
          <w:p w14:paraId="0A8A0EF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ADE310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1801916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17B76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6052000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1.12</w:t>
            </w:r>
          </w:p>
        </w:tc>
        <w:tc>
          <w:tcPr>
            <w:tcW w:w="1912" w:type="dxa"/>
            <w:vAlign w:val="center"/>
          </w:tcPr>
          <w:p w14:paraId="35CA07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锅炉房电梯未做全面检查</w:t>
            </w:r>
          </w:p>
        </w:tc>
        <w:tc>
          <w:tcPr>
            <w:tcW w:w="1912" w:type="dxa"/>
            <w:vAlign w:val="center"/>
          </w:tcPr>
          <w:p w14:paraId="3A99001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必须进行全面检查，能安全可靠运行</w:t>
            </w:r>
          </w:p>
        </w:tc>
        <w:tc>
          <w:tcPr>
            <w:tcW w:w="1912" w:type="dxa"/>
            <w:vAlign w:val="top"/>
          </w:tcPr>
          <w:p w14:paraId="169ABEE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6082AA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损坏一次扣1000元</w:t>
            </w:r>
          </w:p>
        </w:tc>
        <w:tc>
          <w:tcPr>
            <w:tcW w:w="1914" w:type="dxa"/>
            <w:vAlign w:val="center"/>
          </w:tcPr>
          <w:p w14:paraId="1329B1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05CD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01D5FC2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1.13</w:t>
            </w:r>
          </w:p>
        </w:tc>
        <w:tc>
          <w:tcPr>
            <w:tcW w:w="1912" w:type="dxa"/>
            <w:vAlign w:val="center"/>
          </w:tcPr>
          <w:p w14:paraId="1D762EE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主要项目、特殊项目、技改项目无施工方案</w:t>
            </w:r>
          </w:p>
        </w:tc>
        <w:tc>
          <w:tcPr>
            <w:tcW w:w="1912" w:type="dxa"/>
            <w:vAlign w:val="center"/>
          </w:tcPr>
          <w:p w14:paraId="00F152D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开工前须审批</w:t>
            </w:r>
          </w:p>
        </w:tc>
        <w:tc>
          <w:tcPr>
            <w:tcW w:w="1912" w:type="dxa"/>
            <w:vAlign w:val="center"/>
          </w:tcPr>
          <w:p w14:paraId="7B18749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557CB7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457B2D9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612A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393826D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1.14</w:t>
            </w:r>
          </w:p>
        </w:tc>
        <w:tc>
          <w:tcPr>
            <w:tcW w:w="1912" w:type="dxa"/>
            <w:vAlign w:val="center"/>
          </w:tcPr>
          <w:p w14:paraId="47F5718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未办理进场开工手续</w:t>
            </w:r>
          </w:p>
        </w:tc>
        <w:tc>
          <w:tcPr>
            <w:tcW w:w="1912" w:type="dxa"/>
            <w:vAlign w:val="center"/>
          </w:tcPr>
          <w:p w14:paraId="78EE4B8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经各部门审批</w:t>
            </w:r>
          </w:p>
        </w:tc>
        <w:tc>
          <w:tcPr>
            <w:tcW w:w="1912" w:type="dxa"/>
            <w:vAlign w:val="center"/>
          </w:tcPr>
          <w:p w14:paraId="7DF5E7A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56F92B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扣1000元</w:t>
            </w:r>
          </w:p>
        </w:tc>
        <w:tc>
          <w:tcPr>
            <w:tcW w:w="1914" w:type="dxa"/>
            <w:vAlign w:val="center"/>
          </w:tcPr>
          <w:p w14:paraId="28CD36A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3DFD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890654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1.15</w:t>
            </w:r>
          </w:p>
        </w:tc>
        <w:tc>
          <w:tcPr>
            <w:tcW w:w="1912" w:type="dxa"/>
            <w:vAlign w:val="center"/>
          </w:tcPr>
          <w:p w14:paraId="336E1BB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项目经理及技术人员未到位</w:t>
            </w:r>
          </w:p>
        </w:tc>
        <w:tc>
          <w:tcPr>
            <w:tcW w:w="1912" w:type="dxa"/>
            <w:vAlign w:val="center"/>
          </w:tcPr>
          <w:p w14:paraId="5EC4C24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按合同约定</w:t>
            </w:r>
          </w:p>
        </w:tc>
        <w:tc>
          <w:tcPr>
            <w:tcW w:w="1912" w:type="dxa"/>
            <w:vAlign w:val="center"/>
          </w:tcPr>
          <w:p w14:paraId="4EC15A2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F799A7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项目经理非合同约定，或无相应资质，扣1万元；主要技术人员未到位，缺1人扣2000元</w:t>
            </w:r>
          </w:p>
        </w:tc>
        <w:tc>
          <w:tcPr>
            <w:tcW w:w="1914" w:type="dxa"/>
            <w:vAlign w:val="center"/>
          </w:tcPr>
          <w:p w14:paraId="690A88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5C3F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3BD125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1.16</w:t>
            </w:r>
          </w:p>
        </w:tc>
        <w:tc>
          <w:tcPr>
            <w:tcW w:w="1912" w:type="dxa"/>
            <w:vAlign w:val="center"/>
          </w:tcPr>
          <w:p w14:paraId="4FB9ECF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检修人员不到位</w:t>
            </w:r>
          </w:p>
        </w:tc>
        <w:tc>
          <w:tcPr>
            <w:tcW w:w="1912" w:type="dxa"/>
            <w:vAlign w:val="center"/>
          </w:tcPr>
          <w:p w14:paraId="06D6597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开工前人员应按合同约定到齐</w:t>
            </w:r>
          </w:p>
        </w:tc>
        <w:tc>
          <w:tcPr>
            <w:tcW w:w="1912" w:type="dxa"/>
            <w:vAlign w:val="center"/>
          </w:tcPr>
          <w:p w14:paraId="3BD90AA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9A650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缺1人，考核500元</w:t>
            </w:r>
          </w:p>
        </w:tc>
        <w:tc>
          <w:tcPr>
            <w:tcW w:w="1914" w:type="dxa"/>
            <w:vAlign w:val="center"/>
          </w:tcPr>
          <w:p w14:paraId="7264A72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6C31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03E63C8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1.17</w:t>
            </w:r>
          </w:p>
        </w:tc>
        <w:tc>
          <w:tcPr>
            <w:tcW w:w="1912" w:type="dxa"/>
            <w:vAlign w:val="center"/>
          </w:tcPr>
          <w:p w14:paraId="6F696CF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未按时进场开工</w:t>
            </w:r>
          </w:p>
        </w:tc>
        <w:tc>
          <w:tcPr>
            <w:tcW w:w="1912" w:type="dxa"/>
            <w:vAlign w:val="center"/>
          </w:tcPr>
          <w:p w14:paraId="32CC901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按时开工</w:t>
            </w:r>
          </w:p>
        </w:tc>
        <w:tc>
          <w:tcPr>
            <w:tcW w:w="1912" w:type="dxa"/>
            <w:vAlign w:val="center"/>
          </w:tcPr>
          <w:p w14:paraId="032C618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C54014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每迟1天，考核5000元</w:t>
            </w:r>
          </w:p>
        </w:tc>
        <w:tc>
          <w:tcPr>
            <w:tcW w:w="1914" w:type="dxa"/>
            <w:vAlign w:val="center"/>
          </w:tcPr>
          <w:p w14:paraId="5CC5171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58AE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14DD8E8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1.18</w:t>
            </w:r>
          </w:p>
        </w:tc>
        <w:tc>
          <w:tcPr>
            <w:tcW w:w="1912" w:type="dxa"/>
            <w:vAlign w:val="center"/>
          </w:tcPr>
          <w:p w14:paraId="586289A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工作票办理不及时</w:t>
            </w:r>
          </w:p>
        </w:tc>
        <w:tc>
          <w:tcPr>
            <w:tcW w:w="1912" w:type="dxa"/>
            <w:vAlign w:val="center"/>
          </w:tcPr>
          <w:p w14:paraId="2979728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5ED0F72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1ADC643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4365C7C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D000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247B47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w:t>
            </w:r>
          </w:p>
        </w:tc>
        <w:tc>
          <w:tcPr>
            <w:tcW w:w="1912" w:type="dxa"/>
            <w:vAlign w:val="center"/>
          </w:tcPr>
          <w:p w14:paraId="601B51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修中管理</w:t>
            </w:r>
          </w:p>
        </w:tc>
        <w:tc>
          <w:tcPr>
            <w:tcW w:w="1912" w:type="dxa"/>
            <w:vAlign w:val="center"/>
          </w:tcPr>
          <w:p w14:paraId="488F777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5693A14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26CE180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9467C2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0D090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FF7D98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w:t>
            </w:r>
          </w:p>
        </w:tc>
        <w:tc>
          <w:tcPr>
            <w:tcW w:w="1912" w:type="dxa"/>
            <w:vAlign w:val="center"/>
          </w:tcPr>
          <w:p w14:paraId="15E8F2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项目管理</w:t>
            </w:r>
          </w:p>
        </w:tc>
        <w:tc>
          <w:tcPr>
            <w:tcW w:w="1912" w:type="dxa"/>
            <w:vAlign w:val="center"/>
          </w:tcPr>
          <w:p w14:paraId="64984A3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0722564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2A8D9C9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6BBD52A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076F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9E0DE5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2.1.1</w:t>
            </w:r>
          </w:p>
        </w:tc>
        <w:tc>
          <w:tcPr>
            <w:tcW w:w="1912" w:type="dxa"/>
            <w:vAlign w:val="center"/>
          </w:tcPr>
          <w:p w14:paraId="1A610A81">
            <w:pPr>
              <w:keepNext w:val="0"/>
              <w:keepLines w:val="0"/>
              <w:widowControl w:val="0"/>
              <w:suppressLineNumbers w:val="0"/>
              <w:spacing w:before="0" w:beforeAutospacing="0" w:after="0" w:afterAutospacing="0" w:line="34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标准、非标、技改、技术监督、反措等项目漏项</w:t>
            </w:r>
          </w:p>
        </w:tc>
        <w:tc>
          <w:tcPr>
            <w:tcW w:w="1912" w:type="dxa"/>
            <w:vAlign w:val="center"/>
          </w:tcPr>
          <w:p w14:paraId="7AC59856">
            <w:pPr>
              <w:keepNext w:val="0"/>
              <w:keepLines w:val="0"/>
              <w:widowControl w:val="0"/>
              <w:suppressLineNumbers w:val="0"/>
              <w:spacing w:before="0" w:beforeAutospacing="0" w:after="0" w:afterAutospacing="0" w:line="34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以对应的项目计划为准</w:t>
            </w:r>
          </w:p>
        </w:tc>
        <w:tc>
          <w:tcPr>
            <w:tcW w:w="1912" w:type="dxa"/>
            <w:vAlign w:val="top"/>
          </w:tcPr>
          <w:p w14:paraId="2800892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14D47A4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3320C200">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FA63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C23F48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2.1.2</w:t>
            </w:r>
          </w:p>
        </w:tc>
        <w:tc>
          <w:tcPr>
            <w:tcW w:w="1912" w:type="dxa"/>
            <w:vAlign w:val="center"/>
          </w:tcPr>
          <w:p w14:paraId="4CFE9BF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质检项目漏项</w:t>
            </w:r>
          </w:p>
        </w:tc>
        <w:tc>
          <w:tcPr>
            <w:tcW w:w="1912" w:type="dxa"/>
            <w:vAlign w:val="center"/>
          </w:tcPr>
          <w:p w14:paraId="7548E5E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以项目计划为准</w:t>
            </w:r>
          </w:p>
        </w:tc>
        <w:tc>
          <w:tcPr>
            <w:tcW w:w="1912" w:type="dxa"/>
            <w:vAlign w:val="center"/>
          </w:tcPr>
          <w:p w14:paraId="06343A6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2D31A98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1119FD1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FCCC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86FA8F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2.1.3</w:t>
            </w:r>
          </w:p>
        </w:tc>
        <w:tc>
          <w:tcPr>
            <w:tcW w:w="1912" w:type="dxa"/>
            <w:vAlign w:val="center"/>
          </w:tcPr>
          <w:p w14:paraId="372347E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进口设备备品不落实而解体</w:t>
            </w:r>
          </w:p>
        </w:tc>
        <w:tc>
          <w:tcPr>
            <w:tcW w:w="1912" w:type="dxa"/>
            <w:vAlign w:val="center"/>
          </w:tcPr>
          <w:p w14:paraId="4BA2964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备品不落实不能解体</w:t>
            </w:r>
          </w:p>
        </w:tc>
        <w:tc>
          <w:tcPr>
            <w:tcW w:w="1912" w:type="dxa"/>
            <w:vAlign w:val="center"/>
          </w:tcPr>
          <w:p w14:paraId="4E8FF53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270B464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每项扣500-2000元</w:t>
            </w:r>
          </w:p>
        </w:tc>
        <w:tc>
          <w:tcPr>
            <w:tcW w:w="1914" w:type="dxa"/>
            <w:vAlign w:val="center"/>
          </w:tcPr>
          <w:p w14:paraId="4A4FE860">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1A4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F95762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2.1.4</w:t>
            </w:r>
          </w:p>
        </w:tc>
        <w:tc>
          <w:tcPr>
            <w:tcW w:w="1912" w:type="dxa"/>
            <w:vAlign w:val="center"/>
          </w:tcPr>
          <w:p w14:paraId="450E63E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应申办异动申请而未办理或申请未经批准即开工</w:t>
            </w:r>
          </w:p>
        </w:tc>
        <w:tc>
          <w:tcPr>
            <w:tcW w:w="1912" w:type="dxa"/>
            <w:vAlign w:val="center"/>
          </w:tcPr>
          <w:p w14:paraId="26AACF0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设备异动前应办理异动申请并经批准</w:t>
            </w:r>
          </w:p>
        </w:tc>
        <w:tc>
          <w:tcPr>
            <w:tcW w:w="1912" w:type="dxa"/>
            <w:vAlign w:val="center"/>
          </w:tcPr>
          <w:p w14:paraId="29B548D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2E9820B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227E9291">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9619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3F2283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w:t>
            </w:r>
          </w:p>
        </w:tc>
        <w:tc>
          <w:tcPr>
            <w:tcW w:w="1912" w:type="dxa"/>
            <w:vAlign w:val="center"/>
          </w:tcPr>
          <w:p w14:paraId="5CDCFAB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质量管理</w:t>
            </w:r>
          </w:p>
        </w:tc>
        <w:tc>
          <w:tcPr>
            <w:tcW w:w="1912" w:type="dxa"/>
            <w:vAlign w:val="center"/>
          </w:tcPr>
          <w:p w14:paraId="63A273C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03C17F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FBA0B7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448A713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4B18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88521E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w:t>
            </w:r>
          </w:p>
        </w:tc>
        <w:tc>
          <w:tcPr>
            <w:tcW w:w="1912" w:type="dxa"/>
            <w:vAlign w:val="center"/>
          </w:tcPr>
          <w:p w14:paraId="0624B3D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违犯作业指导书规定</w:t>
            </w:r>
          </w:p>
        </w:tc>
        <w:tc>
          <w:tcPr>
            <w:tcW w:w="1912" w:type="dxa"/>
            <w:vAlign w:val="center"/>
          </w:tcPr>
          <w:p w14:paraId="7AB679E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以规定标准及程序为准</w:t>
            </w:r>
          </w:p>
        </w:tc>
        <w:tc>
          <w:tcPr>
            <w:tcW w:w="1912" w:type="dxa"/>
            <w:vAlign w:val="center"/>
          </w:tcPr>
          <w:p w14:paraId="3009163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1A8C6CF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3A2DF92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CAA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075451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2.2.2</w:t>
            </w:r>
          </w:p>
        </w:tc>
        <w:tc>
          <w:tcPr>
            <w:tcW w:w="1912" w:type="dxa"/>
            <w:vAlign w:val="center"/>
          </w:tcPr>
          <w:p w14:paraId="76329E6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违犯工艺纪律</w:t>
            </w:r>
          </w:p>
        </w:tc>
        <w:tc>
          <w:tcPr>
            <w:tcW w:w="1912" w:type="dxa"/>
            <w:vAlign w:val="center"/>
          </w:tcPr>
          <w:p w14:paraId="555DC73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以发电设备检修工艺纪律为准</w:t>
            </w:r>
          </w:p>
        </w:tc>
        <w:tc>
          <w:tcPr>
            <w:tcW w:w="1912" w:type="dxa"/>
            <w:vAlign w:val="center"/>
          </w:tcPr>
          <w:p w14:paraId="2AB1FA8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7BC613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709DE67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D63E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C80CBB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2.2.3</w:t>
            </w:r>
          </w:p>
        </w:tc>
        <w:tc>
          <w:tcPr>
            <w:tcW w:w="1912" w:type="dxa"/>
            <w:vAlign w:val="center"/>
          </w:tcPr>
          <w:p w14:paraId="76F5C1E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三级验收不合格</w:t>
            </w:r>
          </w:p>
        </w:tc>
        <w:tc>
          <w:tcPr>
            <w:tcW w:w="1912" w:type="dxa"/>
            <w:vAlign w:val="center"/>
          </w:tcPr>
          <w:p w14:paraId="1F7ED0E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按作业指导书或规程规定</w:t>
            </w:r>
          </w:p>
        </w:tc>
        <w:tc>
          <w:tcPr>
            <w:tcW w:w="1912" w:type="dxa"/>
            <w:vAlign w:val="center"/>
          </w:tcPr>
          <w:p w14:paraId="7917C32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35916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3742B03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03E4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733D9D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2.2.4</w:t>
            </w:r>
          </w:p>
        </w:tc>
        <w:tc>
          <w:tcPr>
            <w:tcW w:w="1912" w:type="dxa"/>
            <w:vAlign w:val="center"/>
          </w:tcPr>
          <w:p w14:paraId="1D6ACA6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三级验收再次验收不合格</w:t>
            </w:r>
          </w:p>
        </w:tc>
        <w:tc>
          <w:tcPr>
            <w:tcW w:w="1912" w:type="dxa"/>
            <w:vAlign w:val="center"/>
          </w:tcPr>
          <w:p w14:paraId="3EC9E12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按作业指导书或规程规定</w:t>
            </w:r>
          </w:p>
        </w:tc>
        <w:tc>
          <w:tcPr>
            <w:tcW w:w="1912" w:type="dxa"/>
            <w:vAlign w:val="center"/>
          </w:tcPr>
          <w:p w14:paraId="5B421C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4B3BC9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每项扣2000元</w:t>
            </w:r>
          </w:p>
        </w:tc>
        <w:tc>
          <w:tcPr>
            <w:tcW w:w="1914" w:type="dxa"/>
            <w:vAlign w:val="center"/>
          </w:tcPr>
          <w:p w14:paraId="683D700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308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AEE606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2.2.5</w:t>
            </w:r>
          </w:p>
        </w:tc>
        <w:tc>
          <w:tcPr>
            <w:tcW w:w="1912" w:type="dxa"/>
            <w:vAlign w:val="center"/>
          </w:tcPr>
          <w:p w14:paraId="21C1F57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H点验收不合格</w:t>
            </w:r>
          </w:p>
        </w:tc>
        <w:tc>
          <w:tcPr>
            <w:tcW w:w="1912" w:type="dxa"/>
            <w:vAlign w:val="center"/>
          </w:tcPr>
          <w:p w14:paraId="67CB87F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333AB50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C0019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02E2044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55C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A0D16A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2.2.6</w:t>
            </w:r>
          </w:p>
        </w:tc>
        <w:tc>
          <w:tcPr>
            <w:tcW w:w="1912" w:type="dxa"/>
            <w:vAlign w:val="center"/>
          </w:tcPr>
          <w:p w14:paraId="72551F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W点验收不合格</w:t>
            </w:r>
          </w:p>
        </w:tc>
        <w:tc>
          <w:tcPr>
            <w:tcW w:w="1912" w:type="dxa"/>
            <w:vAlign w:val="center"/>
          </w:tcPr>
          <w:p w14:paraId="4130669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6A5298B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1C123DB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48A147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A6FC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121664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2.2.7</w:t>
            </w:r>
          </w:p>
        </w:tc>
        <w:tc>
          <w:tcPr>
            <w:tcW w:w="1912" w:type="dxa"/>
            <w:vAlign w:val="center"/>
          </w:tcPr>
          <w:p w14:paraId="2B6C431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H点再次验收不合格</w:t>
            </w:r>
          </w:p>
        </w:tc>
        <w:tc>
          <w:tcPr>
            <w:tcW w:w="1912" w:type="dxa"/>
            <w:vAlign w:val="center"/>
          </w:tcPr>
          <w:p w14:paraId="1DCC9E7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745DA9E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A9FF76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每项扣600元</w:t>
            </w:r>
          </w:p>
        </w:tc>
        <w:tc>
          <w:tcPr>
            <w:tcW w:w="1914" w:type="dxa"/>
            <w:vAlign w:val="center"/>
          </w:tcPr>
          <w:p w14:paraId="6CF17C6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7C9D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9AA538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2.2.8</w:t>
            </w:r>
          </w:p>
        </w:tc>
        <w:tc>
          <w:tcPr>
            <w:tcW w:w="1912" w:type="dxa"/>
            <w:vAlign w:val="center"/>
          </w:tcPr>
          <w:p w14:paraId="134DEBB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W点再次验收不合格</w:t>
            </w:r>
          </w:p>
        </w:tc>
        <w:tc>
          <w:tcPr>
            <w:tcW w:w="1912" w:type="dxa"/>
            <w:vAlign w:val="center"/>
          </w:tcPr>
          <w:p w14:paraId="43D057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77EADAD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052B7E4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每项扣400元</w:t>
            </w:r>
          </w:p>
        </w:tc>
        <w:tc>
          <w:tcPr>
            <w:tcW w:w="1914" w:type="dxa"/>
            <w:vAlign w:val="center"/>
          </w:tcPr>
          <w:p w14:paraId="704229D7">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8D8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C2B992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2.2.9</w:t>
            </w:r>
          </w:p>
        </w:tc>
        <w:tc>
          <w:tcPr>
            <w:tcW w:w="1912" w:type="dxa"/>
            <w:vAlign w:val="center"/>
          </w:tcPr>
          <w:p w14:paraId="2100308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H点未经验收即进行下道工序</w:t>
            </w:r>
          </w:p>
        </w:tc>
        <w:tc>
          <w:tcPr>
            <w:tcW w:w="1912" w:type="dxa"/>
            <w:vAlign w:val="center"/>
          </w:tcPr>
          <w:p w14:paraId="44B6B82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不验收合格不能进行下道工序</w:t>
            </w:r>
          </w:p>
        </w:tc>
        <w:tc>
          <w:tcPr>
            <w:tcW w:w="1912" w:type="dxa"/>
            <w:vAlign w:val="center"/>
          </w:tcPr>
          <w:p w14:paraId="2D65057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4C9E2E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0879AFC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4C65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BA50AE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2.2.10</w:t>
            </w:r>
          </w:p>
        </w:tc>
        <w:tc>
          <w:tcPr>
            <w:tcW w:w="1912" w:type="dxa"/>
            <w:vAlign w:val="center"/>
          </w:tcPr>
          <w:p w14:paraId="784B131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单机试转不合格</w:t>
            </w:r>
          </w:p>
        </w:tc>
        <w:tc>
          <w:tcPr>
            <w:tcW w:w="1912" w:type="dxa"/>
            <w:vAlign w:val="center"/>
          </w:tcPr>
          <w:p w14:paraId="5B1D33E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292753D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0AB06C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384C377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A015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57067D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2.2.11</w:t>
            </w:r>
          </w:p>
        </w:tc>
        <w:tc>
          <w:tcPr>
            <w:tcW w:w="1912" w:type="dxa"/>
            <w:vAlign w:val="center"/>
          </w:tcPr>
          <w:p w14:paraId="578F326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分系统试转不合格</w:t>
            </w:r>
          </w:p>
        </w:tc>
        <w:tc>
          <w:tcPr>
            <w:tcW w:w="1912" w:type="dxa"/>
            <w:vAlign w:val="center"/>
          </w:tcPr>
          <w:p w14:paraId="6997BD7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699DB49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106140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每项扣5000元</w:t>
            </w:r>
          </w:p>
        </w:tc>
        <w:tc>
          <w:tcPr>
            <w:tcW w:w="1914" w:type="dxa"/>
            <w:vAlign w:val="center"/>
          </w:tcPr>
          <w:p w14:paraId="5434F65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79A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B67052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2.2.12</w:t>
            </w:r>
          </w:p>
        </w:tc>
        <w:tc>
          <w:tcPr>
            <w:tcW w:w="1912" w:type="dxa"/>
            <w:vAlign w:val="center"/>
          </w:tcPr>
          <w:p w14:paraId="02C6D0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发生误停、误动、误操作</w:t>
            </w:r>
          </w:p>
        </w:tc>
        <w:tc>
          <w:tcPr>
            <w:tcW w:w="1912" w:type="dxa"/>
            <w:vAlign w:val="center"/>
          </w:tcPr>
          <w:p w14:paraId="60BD509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2B2EEEF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3B68CFA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14D75A11">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53E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35D5AC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2.2.13</w:t>
            </w:r>
          </w:p>
        </w:tc>
        <w:tc>
          <w:tcPr>
            <w:tcW w:w="1912" w:type="dxa"/>
            <w:vAlign w:val="center"/>
          </w:tcPr>
          <w:p w14:paraId="5DC6859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冷态验收硬件不合格</w:t>
            </w:r>
          </w:p>
        </w:tc>
        <w:tc>
          <w:tcPr>
            <w:tcW w:w="1912" w:type="dxa"/>
            <w:vAlign w:val="center"/>
          </w:tcPr>
          <w:p w14:paraId="4F676FA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48AB00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2A9A0D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3054DC9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4C08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3217E3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2.2.14</w:t>
            </w:r>
          </w:p>
        </w:tc>
        <w:tc>
          <w:tcPr>
            <w:tcW w:w="1912" w:type="dxa"/>
            <w:vAlign w:val="center"/>
          </w:tcPr>
          <w:p w14:paraId="5894EE0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冷态验收软件不合格</w:t>
            </w:r>
          </w:p>
        </w:tc>
        <w:tc>
          <w:tcPr>
            <w:tcW w:w="1912" w:type="dxa"/>
            <w:vAlign w:val="center"/>
          </w:tcPr>
          <w:p w14:paraId="16A17B5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7D435F1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0CF21B5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13691717">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B1D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184F87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2.2.15</w:t>
            </w:r>
          </w:p>
        </w:tc>
        <w:tc>
          <w:tcPr>
            <w:tcW w:w="1912" w:type="dxa"/>
            <w:vAlign w:val="center"/>
          </w:tcPr>
          <w:p w14:paraId="64C2616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再次冷态验收不合格</w:t>
            </w:r>
          </w:p>
        </w:tc>
        <w:tc>
          <w:tcPr>
            <w:tcW w:w="1912" w:type="dxa"/>
            <w:vAlign w:val="center"/>
          </w:tcPr>
          <w:p w14:paraId="7868250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402D667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F0DBB1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2EB087A3">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A17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E2B547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2.2.16</w:t>
            </w:r>
          </w:p>
        </w:tc>
        <w:tc>
          <w:tcPr>
            <w:tcW w:w="1912" w:type="dxa"/>
            <w:vAlign w:val="center"/>
          </w:tcPr>
          <w:p w14:paraId="7CE8BD5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设备损坏</w:t>
            </w:r>
          </w:p>
        </w:tc>
        <w:tc>
          <w:tcPr>
            <w:tcW w:w="1912" w:type="dxa"/>
            <w:vAlign w:val="center"/>
          </w:tcPr>
          <w:p w14:paraId="502CC14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以大修指挥部认定为准</w:t>
            </w:r>
          </w:p>
        </w:tc>
        <w:tc>
          <w:tcPr>
            <w:tcW w:w="1912" w:type="dxa"/>
            <w:vAlign w:val="center"/>
          </w:tcPr>
          <w:p w14:paraId="66DA4E4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2C9CE3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负责赔偿更换，或由此造成的损失，并考核1000-10000元/次</w:t>
            </w:r>
          </w:p>
        </w:tc>
        <w:tc>
          <w:tcPr>
            <w:tcW w:w="1914" w:type="dxa"/>
            <w:vAlign w:val="center"/>
          </w:tcPr>
          <w:p w14:paraId="664FE60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3BB9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87EB04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2.2.17</w:t>
            </w:r>
          </w:p>
        </w:tc>
        <w:tc>
          <w:tcPr>
            <w:tcW w:w="1912" w:type="dxa"/>
            <w:vAlign w:val="center"/>
          </w:tcPr>
          <w:p w14:paraId="24FBFCD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检修中发生质量事故</w:t>
            </w:r>
          </w:p>
        </w:tc>
        <w:tc>
          <w:tcPr>
            <w:tcW w:w="1912" w:type="dxa"/>
            <w:vAlign w:val="center"/>
          </w:tcPr>
          <w:p w14:paraId="2824E2B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以大修指挥部认定为准</w:t>
            </w:r>
          </w:p>
        </w:tc>
        <w:tc>
          <w:tcPr>
            <w:tcW w:w="1912" w:type="dxa"/>
            <w:vAlign w:val="center"/>
          </w:tcPr>
          <w:p w14:paraId="11A7AE1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13F408E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考核0.5-5万元/次，发生重大质量事故，专项处理</w:t>
            </w:r>
          </w:p>
        </w:tc>
        <w:tc>
          <w:tcPr>
            <w:tcW w:w="1914" w:type="dxa"/>
            <w:vAlign w:val="center"/>
          </w:tcPr>
          <w:p w14:paraId="21C4932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32A0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5BA36E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w:t>
            </w:r>
          </w:p>
        </w:tc>
        <w:tc>
          <w:tcPr>
            <w:tcW w:w="1912" w:type="dxa"/>
            <w:vAlign w:val="center"/>
          </w:tcPr>
          <w:p w14:paraId="233E7EF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大修协调管理</w:t>
            </w:r>
          </w:p>
        </w:tc>
        <w:tc>
          <w:tcPr>
            <w:tcW w:w="1912" w:type="dxa"/>
            <w:vAlign w:val="center"/>
          </w:tcPr>
          <w:p w14:paraId="77FCB4B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7344991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6DA5A5F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D20F8D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6B4C7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17D8C2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2.3.1</w:t>
            </w:r>
          </w:p>
        </w:tc>
        <w:tc>
          <w:tcPr>
            <w:tcW w:w="1912" w:type="dxa"/>
            <w:vAlign w:val="center"/>
          </w:tcPr>
          <w:p w14:paraId="0B2A03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不按时出席调度会或协调会</w:t>
            </w:r>
          </w:p>
        </w:tc>
        <w:tc>
          <w:tcPr>
            <w:tcW w:w="1912" w:type="dxa"/>
            <w:vAlign w:val="center"/>
          </w:tcPr>
          <w:p w14:paraId="61B811E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以指挥部规定或通知为准</w:t>
            </w:r>
          </w:p>
        </w:tc>
        <w:tc>
          <w:tcPr>
            <w:tcW w:w="1912" w:type="dxa"/>
            <w:vAlign w:val="center"/>
          </w:tcPr>
          <w:p w14:paraId="1581ED9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1A04B34A">
            <w:pPr>
              <w:keepNext w:val="0"/>
              <w:keepLines w:val="0"/>
              <w:widowControl w:val="0"/>
              <w:suppressLineNumbers w:val="0"/>
              <w:spacing w:before="0" w:beforeAutospacing="0" w:after="0" w:afterAutospacing="0" w:line="360" w:lineRule="exact"/>
              <w:ind w:left="0" w:right="0"/>
              <w:jc w:val="center"/>
              <w:rPr>
                <w:rFonts w:hint="eastAsia" w:ascii="宋体" w:hAnsi="宋体" w:eastAsia="宋体" w:cs="Arial"/>
                <w:color w:val="000000"/>
                <w:kern w:val="2"/>
                <w:sz w:val="18"/>
                <w:szCs w:val="18"/>
              </w:rPr>
            </w:pPr>
            <w:r>
              <w:rPr>
                <w:rFonts w:hint="eastAsia" w:ascii="宋体" w:hAnsi="宋体" w:eastAsia="宋体" w:cs="宋体"/>
                <w:color w:val="000000"/>
                <w:kern w:val="2"/>
                <w:sz w:val="18"/>
                <w:szCs w:val="18"/>
                <w:lang w:val="en-US" w:eastAsia="zh-CN" w:bidi="ar"/>
              </w:rPr>
              <w:t>缺席每人次扣100元</w:t>
            </w:r>
          </w:p>
          <w:p w14:paraId="4844C4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迟到每人次扣50元</w:t>
            </w:r>
          </w:p>
        </w:tc>
        <w:tc>
          <w:tcPr>
            <w:tcW w:w="1914" w:type="dxa"/>
            <w:vAlign w:val="center"/>
          </w:tcPr>
          <w:p w14:paraId="55F36F0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155B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FB40F7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2.3.2</w:t>
            </w:r>
          </w:p>
        </w:tc>
        <w:tc>
          <w:tcPr>
            <w:tcW w:w="1912" w:type="dxa"/>
            <w:vAlign w:val="center"/>
          </w:tcPr>
          <w:p w14:paraId="2B59310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不按时出席专业会</w:t>
            </w:r>
          </w:p>
        </w:tc>
        <w:tc>
          <w:tcPr>
            <w:tcW w:w="1912" w:type="dxa"/>
            <w:vAlign w:val="center"/>
          </w:tcPr>
          <w:p w14:paraId="1117CEF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以指挥部规定或通知为准</w:t>
            </w:r>
          </w:p>
        </w:tc>
        <w:tc>
          <w:tcPr>
            <w:tcW w:w="1912" w:type="dxa"/>
            <w:vAlign w:val="center"/>
          </w:tcPr>
          <w:p w14:paraId="1298234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73DB55DD">
            <w:pPr>
              <w:keepNext w:val="0"/>
              <w:keepLines w:val="0"/>
              <w:widowControl w:val="0"/>
              <w:suppressLineNumbers w:val="0"/>
              <w:spacing w:before="0" w:beforeAutospacing="0" w:after="0" w:afterAutospacing="0" w:line="360" w:lineRule="exact"/>
              <w:ind w:left="0" w:right="0"/>
              <w:jc w:val="center"/>
              <w:rPr>
                <w:rFonts w:hint="eastAsia" w:ascii="宋体" w:hAnsi="宋体" w:eastAsia="宋体" w:cs="Arial"/>
                <w:color w:val="000000"/>
                <w:kern w:val="2"/>
                <w:sz w:val="18"/>
                <w:szCs w:val="18"/>
              </w:rPr>
            </w:pPr>
            <w:r>
              <w:rPr>
                <w:rFonts w:hint="eastAsia" w:ascii="宋体" w:hAnsi="宋体" w:eastAsia="宋体" w:cs="宋体"/>
                <w:color w:val="000000"/>
                <w:kern w:val="2"/>
                <w:sz w:val="18"/>
                <w:szCs w:val="18"/>
                <w:lang w:val="en-US" w:eastAsia="zh-CN" w:bidi="ar"/>
              </w:rPr>
              <w:t>缺席每人次扣100元</w:t>
            </w:r>
          </w:p>
          <w:p w14:paraId="3C7E45F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迟到每人次扣50元</w:t>
            </w:r>
          </w:p>
        </w:tc>
        <w:tc>
          <w:tcPr>
            <w:tcW w:w="1914" w:type="dxa"/>
            <w:vAlign w:val="center"/>
          </w:tcPr>
          <w:p w14:paraId="2819C70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3F6B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0E9A09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2.3.3</w:t>
            </w:r>
          </w:p>
        </w:tc>
        <w:tc>
          <w:tcPr>
            <w:tcW w:w="1912" w:type="dxa"/>
            <w:vAlign w:val="center"/>
          </w:tcPr>
          <w:p w14:paraId="129B4FD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指挥部交办工作不落实</w:t>
            </w:r>
          </w:p>
        </w:tc>
        <w:tc>
          <w:tcPr>
            <w:tcW w:w="1912" w:type="dxa"/>
            <w:vAlign w:val="center"/>
          </w:tcPr>
          <w:p w14:paraId="379FB5D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以指挥部认定为准</w:t>
            </w:r>
          </w:p>
        </w:tc>
        <w:tc>
          <w:tcPr>
            <w:tcW w:w="1912" w:type="dxa"/>
            <w:vAlign w:val="center"/>
          </w:tcPr>
          <w:p w14:paraId="22DEABD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AAD5F7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1AD8230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7F11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259EAE4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2.3.4</w:t>
            </w:r>
          </w:p>
        </w:tc>
        <w:tc>
          <w:tcPr>
            <w:tcW w:w="1912" w:type="dxa"/>
            <w:vAlign w:val="center"/>
          </w:tcPr>
          <w:p w14:paraId="7D28280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专业、部门间发送的工作联系单超过24小时没有回音</w:t>
            </w:r>
          </w:p>
        </w:tc>
        <w:tc>
          <w:tcPr>
            <w:tcW w:w="1912" w:type="dxa"/>
            <w:vAlign w:val="center"/>
          </w:tcPr>
          <w:p w14:paraId="65E0C5D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以发送的工作联系单时的时间为准</w:t>
            </w:r>
          </w:p>
        </w:tc>
        <w:tc>
          <w:tcPr>
            <w:tcW w:w="1912" w:type="dxa"/>
            <w:vAlign w:val="center"/>
          </w:tcPr>
          <w:p w14:paraId="0A91B58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接收部门</w:t>
            </w:r>
          </w:p>
        </w:tc>
        <w:tc>
          <w:tcPr>
            <w:tcW w:w="1914" w:type="dxa"/>
            <w:vAlign w:val="center"/>
          </w:tcPr>
          <w:p w14:paraId="4014816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243FE1F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07E3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A21583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w:t>
            </w:r>
          </w:p>
        </w:tc>
        <w:tc>
          <w:tcPr>
            <w:tcW w:w="1912" w:type="dxa"/>
            <w:vAlign w:val="center"/>
          </w:tcPr>
          <w:p w14:paraId="536115A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检修工期管理</w:t>
            </w:r>
          </w:p>
        </w:tc>
        <w:tc>
          <w:tcPr>
            <w:tcW w:w="1912" w:type="dxa"/>
            <w:vAlign w:val="center"/>
          </w:tcPr>
          <w:p w14:paraId="3F0C47B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414CADD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74CAEE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61DDFD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79599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A33F28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2.4.1</w:t>
            </w:r>
          </w:p>
        </w:tc>
        <w:tc>
          <w:tcPr>
            <w:tcW w:w="1912" w:type="dxa"/>
            <w:vAlign w:val="center"/>
          </w:tcPr>
          <w:p w14:paraId="73DAC2E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因备品加工及材料供应不及时拖延工期</w:t>
            </w:r>
          </w:p>
        </w:tc>
        <w:tc>
          <w:tcPr>
            <w:tcW w:w="1912" w:type="dxa"/>
            <w:vAlign w:val="center"/>
          </w:tcPr>
          <w:p w14:paraId="5BDDDFC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55D1757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w:t>
            </w:r>
          </w:p>
        </w:tc>
        <w:tc>
          <w:tcPr>
            <w:tcW w:w="1914" w:type="dxa"/>
            <w:vAlign w:val="center"/>
          </w:tcPr>
          <w:p w14:paraId="78C03231">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拖延专业工期一天扣500元，拖延总工期一天扣1000元</w:t>
            </w:r>
          </w:p>
        </w:tc>
        <w:tc>
          <w:tcPr>
            <w:tcW w:w="1914" w:type="dxa"/>
            <w:vAlign w:val="center"/>
          </w:tcPr>
          <w:p w14:paraId="7323CA97">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B72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25ADB0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2.4.2</w:t>
            </w:r>
          </w:p>
        </w:tc>
        <w:tc>
          <w:tcPr>
            <w:tcW w:w="1912" w:type="dxa"/>
            <w:vAlign w:val="center"/>
          </w:tcPr>
          <w:p w14:paraId="136595A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工期延误</w:t>
            </w:r>
          </w:p>
        </w:tc>
        <w:tc>
          <w:tcPr>
            <w:tcW w:w="1912" w:type="dxa"/>
            <w:vAlign w:val="center"/>
          </w:tcPr>
          <w:p w14:paraId="5C37C8A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298AC9B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B15A031">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拖延专业工期一天扣5000元，拖延总工期一天扣10000元</w:t>
            </w:r>
          </w:p>
        </w:tc>
        <w:tc>
          <w:tcPr>
            <w:tcW w:w="1914" w:type="dxa"/>
            <w:vAlign w:val="center"/>
          </w:tcPr>
          <w:p w14:paraId="58D9052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2B54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36C67F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w:t>
            </w:r>
          </w:p>
        </w:tc>
        <w:tc>
          <w:tcPr>
            <w:tcW w:w="1912" w:type="dxa"/>
            <w:vAlign w:val="center"/>
          </w:tcPr>
          <w:p w14:paraId="0E58F8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修后管理</w:t>
            </w:r>
          </w:p>
        </w:tc>
        <w:tc>
          <w:tcPr>
            <w:tcW w:w="1912" w:type="dxa"/>
            <w:vAlign w:val="center"/>
          </w:tcPr>
          <w:p w14:paraId="662B46D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422C6D4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3363304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4E665A2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p>
        </w:tc>
      </w:tr>
      <w:tr w14:paraId="29A0B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926D1A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3.1</w:t>
            </w:r>
          </w:p>
        </w:tc>
        <w:tc>
          <w:tcPr>
            <w:tcW w:w="1912" w:type="dxa"/>
            <w:vAlign w:val="center"/>
          </w:tcPr>
          <w:p w14:paraId="651E998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设备不见本色、积灰积油等</w:t>
            </w:r>
          </w:p>
        </w:tc>
        <w:tc>
          <w:tcPr>
            <w:tcW w:w="1912" w:type="dxa"/>
            <w:vAlign w:val="center"/>
          </w:tcPr>
          <w:p w14:paraId="4BCBE6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4AD15C6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01F03E3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每处扣100元</w:t>
            </w:r>
          </w:p>
        </w:tc>
        <w:tc>
          <w:tcPr>
            <w:tcW w:w="1914" w:type="dxa"/>
            <w:vAlign w:val="center"/>
          </w:tcPr>
          <w:p w14:paraId="15365DC8">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E0DF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BFFE11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3.2</w:t>
            </w:r>
          </w:p>
        </w:tc>
        <w:tc>
          <w:tcPr>
            <w:tcW w:w="1912" w:type="dxa"/>
            <w:vAlign w:val="center"/>
          </w:tcPr>
          <w:p w14:paraId="6C59ED8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阀门手轮、设备标识、防护设施、介质流向不齐全不完整、不正确</w:t>
            </w:r>
          </w:p>
        </w:tc>
        <w:tc>
          <w:tcPr>
            <w:tcW w:w="1912" w:type="dxa"/>
            <w:vAlign w:val="center"/>
          </w:tcPr>
          <w:p w14:paraId="7B41390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2B6B2DE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4BF354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每处扣100元</w:t>
            </w:r>
          </w:p>
        </w:tc>
        <w:tc>
          <w:tcPr>
            <w:tcW w:w="1914" w:type="dxa"/>
            <w:vAlign w:val="center"/>
          </w:tcPr>
          <w:p w14:paraId="2F83984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A818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818883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3.3</w:t>
            </w:r>
          </w:p>
        </w:tc>
        <w:tc>
          <w:tcPr>
            <w:tcW w:w="1912" w:type="dxa"/>
            <w:vAlign w:val="center"/>
          </w:tcPr>
          <w:p w14:paraId="5AEC047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需消除的设备缺陷或漏点</w:t>
            </w:r>
          </w:p>
        </w:tc>
        <w:tc>
          <w:tcPr>
            <w:tcW w:w="1912" w:type="dxa"/>
            <w:vAlign w:val="center"/>
          </w:tcPr>
          <w:p w14:paraId="019B89E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7AE1D34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CE0E2D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760235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0C8E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B9810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3.4</w:t>
            </w:r>
          </w:p>
        </w:tc>
        <w:tc>
          <w:tcPr>
            <w:tcW w:w="1912" w:type="dxa"/>
            <w:vAlign w:val="center"/>
          </w:tcPr>
          <w:p w14:paraId="335F249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修后机组启动未成功</w:t>
            </w:r>
          </w:p>
        </w:tc>
        <w:tc>
          <w:tcPr>
            <w:tcW w:w="1912" w:type="dxa"/>
            <w:vAlign w:val="center"/>
          </w:tcPr>
          <w:p w14:paraId="7FEFB9A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以并网及解列为准</w:t>
            </w:r>
          </w:p>
        </w:tc>
        <w:tc>
          <w:tcPr>
            <w:tcW w:w="1912" w:type="dxa"/>
            <w:vAlign w:val="center"/>
          </w:tcPr>
          <w:p w14:paraId="4F8691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149252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一次扣1-5万元</w:t>
            </w:r>
          </w:p>
        </w:tc>
        <w:tc>
          <w:tcPr>
            <w:tcW w:w="1914" w:type="dxa"/>
            <w:vAlign w:val="center"/>
          </w:tcPr>
          <w:p w14:paraId="649C9B9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0ED75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4048C7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3.5</w:t>
            </w:r>
          </w:p>
        </w:tc>
        <w:tc>
          <w:tcPr>
            <w:tcW w:w="1912" w:type="dxa"/>
            <w:vAlign w:val="center"/>
          </w:tcPr>
          <w:p w14:paraId="29DDCFA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首次启动发生泄漏</w:t>
            </w:r>
          </w:p>
        </w:tc>
        <w:tc>
          <w:tcPr>
            <w:tcW w:w="1912" w:type="dxa"/>
            <w:vAlign w:val="center"/>
          </w:tcPr>
          <w:p w14:paraId="6F37233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漏汽、风、油、水等</w:t>
            </w:r>
          </w:p>
        </w:tc>
        <w:tc>
          <w:tcPr>
            <w:tcW w:w="1912" w:type="dxa"/>
            <w:vAlign w:val="center"/>
          </w:tcPr>
          <w:p w14:paraId="26FC034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F6D423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每项扣200-20000元</w:t>
            </w:r>
          </w:p>
        </w:tc>
        <w:tc>
          <w:tcPr>
            <w:tcW w:w="1914" w:type="dxa"/>
            <w:vAlign w:val="center"/>
          </w:tcPr>
          <w:p w14:paraId="3ECD795F">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7CD0F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DEB041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3.6</w:t>
            </w:r>
          </w:p>
        </w:tc>
        <w:tc>
          <w:tcPr>
            <w:tcW w:w="1912" w:type="dxa"/>
            <w:vAlign w:val="center"/>
          </w:tcPr>
          <w:p w14:paraId="08EC5CF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发生设备异常及以上事件</w:t>
            </w:r>
          </w:p>
        </w:tc>
        <w:tc>
          <w:tcPr>
            <w:tcW w:w="1912" w:type="dxa"/>
            <w:vAlign w:val="center"/>
          </w:tcPr>
          <w:p w14:paraId="3BC8A0A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经指挥部认定为准</w:t>
            </w:r>
          </w:p>
        </w:tc>
        <w:tc>
          <w:tcPr>
            <w:tcW w:w="1912" w:type="dxa"/>
            <w:vAlign w:val="center"/>
          </w:tcPr>
          <w:p w14:paraId="2A5A045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3089DAD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承担相应责任及费用</w:t>
            </w:r>
          </w:p>
        </w:tc>
        <w:tc>
          <w:tcPr>
            <w:tcW w:w="1914" w:type="dxa"/>
            <w:vAlign w:val="center"/>
          </w:tcPr>
          <w:p w14:paraId="5300D0A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23BB7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71419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3.7</w:t>
            </w:r>
          </w:p>
        </w:tc>
        <w:tc>
          <w:tcPr>
            <w:tcW w:w="1912" w:type="dxa"/>
            <w:vAlign w:val="center"/>
          </w:tcPr>
          <w:p w14:paraId="575B1BC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质保期内发生缺陷</w:t>
            </w:r>
          </w:p>
        </w:tc>
        <w:tc>
          <w:tcPr>
            <w:tcW w:w="1912" w:type="dxa"/>
            <w:vAlign w:val="center"/>
          </w:tcPr>
          <w:p w14:paraId="6F47E54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检修后首次并网后6个月内发生缺陷，责任单位负责处理</w:t>
            </w:r>
          </w:p>
        </w:tc>
        <w:tc>
          <w:tcPr>
            <w:tcW w:w="1912" w:type="dxa"/>
            <w:vAlign w:val="center"/>
          </w:tcPr>
          <w:p w14:paraId="7AB107F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02FC990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每项扣100-10000元</w:t>
            </w:r>
          </w:p>
        </w:tc>
        <w:tc>
          <w:tcPr>
            <w:tcW w:w="1914" w:type="dxa"/>
            <w:vAlign w:val="center"/>
          </w:tcPr>
          <w:p w14:paraId="3F0B05C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E3F4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2E8082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w:t>
            </w:r>
          </w:p>
        </w:tc>
        <w:tc>
          <w:tcPr>
            <w:tcW w:w="1912" w:type="dxa"/>
            <w:vAlign w:val="center"/>
          </w:tcPr>
          <w:p w14:paraId="493763A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材料备品费用超支</w:t>
            </w:r>
          </w:p>
        </w:tc>
        <w:tc>
          <w:tcPr>
            <w:tcW w:w="1912" w:type="dxa"/>
            <w:vAlign w:val="center"/>
          </w:tcPr>
          <w:p w14:paraId="233C96B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38D0FD2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77F3ADB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7C1D29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3906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DCFB2C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4.1</w:t>
            </w:r>
          </w:p>
        </w:tc>
        <w:tc>
          <w:tcPr>
            <w:tcW w:w="1912" w:type="dxa"/>
            <w:vAlign w:val="center"/>
          </w:tcPr>
          <w:p w14:paraId="2DD0B8C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材料备品计划提报有误用不上</w:t>
            </w:r>
          </w:p>
        </w:tc>
        <w:tc>
          <w:tcPr>
            <w:tcW w:w="1912" w:type="dxa"/>
            <w:vAlign w:val="center"/>
          </w:tcPr>
          <w:p w14:paraId="187A0DA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经指挥部认定为准</w:t>
            </w:r>
          </w:p>
        </w:tc>
        <w:tc>
          <w:tcPr>
            <w:tcW w:w="1912" w:type="dxa"/>
            <w:vAlign w:val="center"/>
          </w:tcPr>
          <w:p w14:paraId="649EE6D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1FF5C7C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按原值20%扣</w:t>
            </w:r>
          </w:p>
        </w:tc>
        <w:tc>
          <w:tcPr>
            <w:tcW w:w="1914" w:type="dxa"/>
            <w:vAlign w:val="center"/>
          </w:tcPr>
          <w:p w14:paraId="6A6E9F2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69DA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D341A7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4.2</w:t>
            </w:r>
          </w:p>
        </w:tc>
        <w:tc>
          <w:tcPr>
            <w:tcW w:w="1912" w:type="dxa"/>
            <w:vAlign w:val="center"/>
          </w:tcPr>
          <w:p w14:paraId="24B0D51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材料、备品料单混乱与项目成本科目不符合</w:t>
            </w:r>
          </w:p>
        </w:tc>
        <w:tc>
          <w:tcPr>
            <w:tcW w:w="1912" w:type="dxa"/>
            <w:vAlign w:val="center"/>
          </w:tcPr>
          <w:p w14:paraId="47207A8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经生产技术管理部门认定</w:t>
            </w:r>
          </w:p>
        </w:tc>
        <w:tc>
          <w:tcPr>
            <w:tcW w:w="1912" w:type="dxa"/>
            <w:vAlign w:val="center"/>
          </w:tcPr>
          <w:p w14:paraId="6D58B81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58322D7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3E48953">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F465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0FCB5C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4.3</w:t>
            </w:r>
          </w:p>
        </w:tc>
        <w:tc>
          <w:tcPr>
            <w:tcW w:w="1912" w:type="dxa"/>
            <w:vAlign w:val="center"/>
          </w:tcPr>
          <w:p w14:paraId="1086F98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未经生产技术管理部门相关专业同意擅自更换备品</w:t>
            </w:r>
          </w:p>
        </w:tc>
        <w:tc>
          <w:tcPr>
            <w:tcW w:w="1912" w:type="dxa"/>
            <w:vAlign w:val="center"/>
          </w:tcPr>
          <w:p w14:paraId="63DAA47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专责认定</w:t>
            </w:r>
          </w:p>
        </w:tc>
        <w:tc>
          <w:tcPr>
            <w:tcW w:w="1912" w:type="dxa"/>
            <w:vAlign w:val="center"/>
          </w:tcPr>
          <w:p w14:paraId="6322D6A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388AAF7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4BA109C1">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114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5C710C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4.4</w:t>
            </w:r>
          </w:p>
        </w:tc>
        <w:tc>
          <w:tcPr>
            <w:tcW w:w="1912" w:type="dxa"/>
            <w:vAlign w:val="center"/>
          </w:tcPr>
          <w:p w14:paraId="1BA5346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领用的材料备品保管不当或损坏</w:t>
            </w:r>
          </w:p>
        </w:tc>
        <w:tc>
          <w:tcPr>
            <w:tcW w:w="1912" w:type="dxa"/>
            <w:vAlign w:val="center"/>
          </w:tcPr>
          <w:p w14:paraId="5FF1024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经生产技术管理部门认定</w:t>
            </w:r>
          </w:p>
        </w:tc>
        <w:tc>
          <w:tcPr>
            <w:tcW w:w="1912" w:type="dxa"/>
            <w:vAlign w:val="center"/>
          </w:tcPr>
          <w:p w14:paraId="1F52B8F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2719BB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按原值20%扣</w:t>
            </w:r>
          </w:p>
        </w:tc>
        <w:tc>
          <w:tcPr>
            <w:tcW w:w="1914" w:type="dxa"/>
            <w:vAlign w:val="center"/>
          </w:tcPr>
          <w:p w14:paraId="13F28265">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BE11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74293B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4.5</w:t>
            </w:r>
          </w:p>
        </w:tc>
        <w:tc>
          <w:tcPr>
            <w:tcW w:w="1912" w:type="dxa"/>
            <w:vAlign w:val="center"/>
          </w:tcPr>
          <w:p w14:paraId="5B1013C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资料整理及移交</w:t>
            </w:r>
          </w:p>
        </w:tc>
        <w:tc>
          <w:tcPr>
            <w:tcW w:w="1912" w:type="dxa"/>
            <w:vAlign w:val="center"/>
          </w:tcPr>
          <w:p w14:paraId="4054699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按时按标准完成</w:t>
            </w:r>
          </w:p>
        </w:tc>
        <w:tc>
          <w:tcPr>
            <w:tcW w:w="1912" w:type="dxa"/>
            <w:vAlign w:val="center"/>
          </w:tcPr>
          <w:p w14:paraId="0611D5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00D812F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未交检修资料，考核2万元，同时可拒绝支付保证金；推迟交付，考核500元/天。</w:t>
            </w:r>
          </w:p>
        </w:tc>
        <w:tc>
          <w:tcPr>
            <w:tcW w:w="1914" w:type="dxa"/>
            <w:vAlign w:val="center"/>
          </w:tcPr>
          <w:p w14:paraId="5CED56A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p>
        </w:tc>
      </w:tr>
    </w:tbl>
    <w:p w14:paraId="1DD92323">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533837"/>
    <w:multiLevelType w:val="singleLevel"/>
    <w:tmpl w:val="AB533837"/>
    <w:lvl w:ilvl="0" w:tentative="0">
      <w:start w:val="1"/>
      <w:numFmt w:val="chineseCounting"/>
      <w:suff w:val="nothing"/>
      <w:lvlText w:val="%1、"/>
      <w:lvlJc w:val="left"/>
      <w:rPr>
        <w:rFonts w:hint="eastAsia"/>
      </w:rPr>
    </w:lvl>
  </w:abstractNum>
  <w:abstractNum w:abstractNumId="1">
    <w:nsid w:val="27AD586C"/>
    <w:multiLevelType w:val="multilevel"/>
    <w:tmpl w:val="27AD586C"/>
    <w:lvl w:ilvl="0" w:tentative="0">
      <w:start w:val="1"/>
      <w:numFmt w:val="decimal"/>
      <w:lvlText w:val="%1"/>
      <w:lvlJc w:val="left"/>
      <w:pPr>
        <w:ind w:left="425" w:hanging="425"/>
      </w:pPr>
      <w:rPr>
        <w:rFonts w:hint="eastAsia"/>
      </w:rPr>
    </w:lvl>
    <w:lvl w:ilvl="1" w:tentative="0">
      <w:start w:val="1"/>
      <w:numFmt w:val="decimal"/>
      <w:pStyle w:val="21"/>
      <w:lvlText w:val="%1.%2"/>
      <w:lvlJc w:val="left"/>
      <w:pPr>
        <w:ind w:left="851" w:hanging="567"/>
      </w:pPr>
      <w:rPr>
        <w:rFonts w:hint="eastAsia" w:asciiTheme="minorEastAsia" w:hAnsiTheme="minorEastAsia" w:eastAsiaTheme="minorEastAsia"/>
      </w:rPr>
    </w:lvl>
    <w:lvl w:ilvl="2" w:tentative="0">
      <w:start w:val="1"/>
      <w:numFmt w:val="decimal"/>
      <w:pStyle w:val="23"/>
      <w:lvlText w:val="%1.%2.%3"/>
      <w:lvlJc w:val="left"/>
      <w:pPr>
        <w:ind w:left="840" w:hanging="567"/>
      </w:pPr>
      <w:rPr>
        <w:rFonts w:hint="eastAsia" w:ascii="宋体" w:hAnsi="宋体" w:eastAsia="宋体"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3B4CB588"/>
    <w:multiLevelType w:val="singleLevel"/>
    <w:tmpl w:val="3B4CB588"/>
    <w:lvl w:ilvl="0" w:tentative="0">
      <w:start w:val="2"/>
      <w:numFmt w:val="decimal"/>
      <w:suff w:val="nothing"/>
      <w:lvlText w:val="%1、"/>
      <w:lvlJc w:val="left"/>
    </w:lvl>
  </w:abstractNum>
  <w:abstractNum w:abstractNumId="3">
    <w:nsid w:val="6EFAF370"/>
    <w:multiLevelType w:val="multilevel"/>
    <w:tmpl w:val="6EFAF370"/>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D466C3"/>
    <w:rsid w:val="02387785"/>
    <w:rsid w:val="0B0F6A55"/>
    <w:rsid w:val="0DEF0A1B"/>
    <w:rsid w:val="15941EA9"/>
    <w:rsid w:val="1EF26B32"/>
    <w:rsid w:val="27EC8AC9"/>
    <w:rsid w:val="294F3A2C"/>
    <w:rsid w:val="2F2F86A2"/>
    <w:rsid w:val="37164E3A"/>
    <w:rsid w:val="3E56EB1F"/>
    <w:rsid w:val="3FFF1E96"/>
    <w:rsid w:val="49D708D2"/>
    <w:rsid w:val="5173E92C"/>
    <w:rsid w:val="5DBF1FBC"/>
    <w:rsid w:val="5EBFCA8E"/>
    <w:rsid w:val="5ED466C3"/>
    <w:rsid w:val="5F657186"/>
    <w:rsid w:val="67FD388B"/>
    <w:rsid w:val="6B3C3F87"/>
    <w:rsid w:val="6FBF8CD5"/>
    <w:rsid w:val="76A692D0"/>
    <w:rsid w:val="76F7541E"/>
    <w:rsid w:val="777EF543"/>
    <w:rsid w:val="77FBF773"/>
    <w:rsid w:val="793F2EAE"/>
    <w:rsid w:val="7CBD0FFB"/>
    <w:rsid w:val="7DE75B1F"/>
    <w:rsid w:val="7DFAFA07"/>
    <w:rsid w:val="7EEFE98F"/>
    <w:rsid w:val="7F34F8C8"/>
    <w:rsid w:val="7F9B8A61"/>
    <w:rsid w:val="7FBF4B0C"/>
    <w:rsid w:val="7FE9CEFD"/>
    <w:rsid w:val="C77FE086"/>
    <w:rsid w:val="DF33A873"/>
    <w:rsid w:val="DFEFD0DC"/>
    <w:rsid w:val="EFFA5016"/>
    <w:rsid w:val="F76F8A0C"/>
    <w:rsid w:val="F7F70DC2"/>
    <w:rsid w:val="F9FB899D"/>
    <w:rsid w:val="FDEFA5D0"/>
    <w:rsid w:val="FED91AE8"/>
    <w:rsid w:val="FEF6B90D"/>
    <w:rsid w:val="FEFF2849"/>
    <w:rsid w:val="FF232F36"/>
    <w:rsid w:val="FF7FE9A5"/>
    <w:rsid w:val="FF938C14"/>
    <w:rsid w:val="FF9EB3E8"/>
    <w:rsid w:val="FFDFCFF1"/>
    <w:rsid w:val="FFFBFD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unhideWhenUsed/>
    <w:qFormat/>
    <w:uiPriority w:val="9"/>
    <w:pPr>
      <w:keepNext/>
      <w:keepLines/>
      <w:spacing w:before="260" w:after="260" w:line="416" w:lineRule="auto"/>
      <w:outlineLvl w:val="1"/>
    </w:pPr>
    <w:rPr>
      <w:rFonts w:ascii="Cambria" w:hAnsi="Cambria"/>
      <w:b/>
      <w:bCs/>
      <w:sz w:val="32"/>
      <w:szCs w:val="32"/>
    </w:rPr>
  </w:style>
  <w:style w:type="paragraph" w:styleId="7">
    <w:name w:val="heading 3"/>
    <w:basedOn w:val="1"/>
    <w:next w:val="1"/>
    <w:unhideWhenUsed/>
    <w:qFormat/>
    <w:uiPriority w:val="0"/>
    <w:pPr>
      <w:keepNext/>
      <w:keepLines/>
      <w:spacing w:beforeLines="50" w:line="360" w:lineRule="auto"/>
      <w:ind w:firstLine="0" w:firstLineChars="0"/>
      <w:outlineLvl w:val="2"/>
    </w:pPr>
    <w:rPr>
      <w:rFonts w:eastAsia="黑体" w:asciiTheme="majorHAnsi" w:hAnsiTheme="majorHAnsi" w:cstheme="majorBidi"/>
      <w:bCs/>
    </w:rPr>
  </w:style>
  <w:style w:type="paragraph" w:styleId="8">
    <w:name w:val="heading 4"/>
    <w:basedOn w:val="1"/>
    <w:next w:val="1"/>
    <w:unhideWhenUsed/>
    <w:qFormat/>
    <w:uiPriority w:val="0"/>
    <w:pPr>
      <w:keepNext/>
      <w:keepLines/>
      <w:spacing w:before="200"/>
      <w:outlineLvl w:val="3"/>
    </w:pPr>
    <w:rPr>
      <w:rFonts w:asciiTheme="majorHAnsi" w:hAnsiTheme="majorHAnsi" w:eastAsiaTheme="majorEastAsia" w:cstheme="majorBidi"/>
      <w:b/>
      <w:bCs/>
      <w:i/>
      <w:iCs/>
      <w:color w:val="5B9BD5" w:themeColor="accent1"/>
      <w14:textFill>
        <w14:solidFill>
          <w14:schemeClr w14:val="accent1"/>
        </w14:solidFill>
      </w14:textFill>
    </w:rPr>
  </w:style>
  <w:style w:type="paragraph" w:styleId="9">
    <w:name w:val="heading 5"/>
    <w:basedOn w:val="1"/>
    <w:next w:val="1"/>
    <w:unhideWhenUsed/>
    <w:qFormat/>
    <w:uiPriority w:val="0"/>
    <w:pPr>
      <w:keepNext/>
      <w:keepLines/>
      <w:spacing w:before="200"/>
      <w:outlineLvl w:val="4"/>
    </w:pPr>
    <w:rPr>
      <w:rFonts w:asciiTheme="majorHAnsi" w:hAnsiTheme="majorHAnsi" w:eastAsiaTheme="majorEastAsia" w:cstheme="majorBidi"/>
      <w:color w:val="1F4E79" w:themeColor="accent1" w:themeShade="80"/>
    </w:rPr>
  </w:style>
  <w:style w:type="character" w:default="1" w:styleId="17">
    <w:name w:val="Default Paragraph Font"/>
    <w:link w:val="18"/>
    <w:semiHidden/>
    <w:qFormat/>
    <w:uiPriority w:val="0"/>
    <w:rPr>
      <w:rFonts w:ascii="宋体" w:hAnsi="Times New Roman"/>
      <w:sz w:val="24"/>
      <w:szCs w:val="24"/>
    </w:rPr>
  </w:style>
  <w:style w:type="table" w:default="1" w:styleId="1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引言二级条标题"/>
    <w:basedOn w:val="3"/>
    <w:next w:val="4"/>
    <w:qFormat/>
    <w:uiPriority w:val="99"/>
    <w:pPr>
      <w:tabs>
        <w:tab w:val="left" w:pos="737"/>
      </w:tabs>
    </w:pPr>
  </w:style>
  <w:style w:type="paragraph" w:customStyle="1" w:styleId="3">
    <w:name w:val="引言一级条标题"/>
    <w:basedOn w:val="1"/>
    <w:next w:val="4"/>
    <w:qFormat/>
    <w:uiPriority w:val="99"/>
    <w:pPr>
      <w:widowControl/>
      <w:tabs>
        <w:tab w:val="left" w:pos="737"/>
      </w:tabs>
    </w:pPr>
    <w:rPr>
      <w:rFonts w:eastAsia="黑体"/>
      <w:b/>
      <w:bCs/>
      <w:szCs w:val="21"/>
    </w:rPr>
  </w:style>
  <w:style w:type="paragraph" w:customStyle="1" w:styleId="4">
    <w:name w:val="段"/>
    <w:basedOn w:val="5"/>
    <w:next w:val="1"/>
    <w:qFormat/>
    <w:uiPriority w:val="0"/>
    <w:pPr>
      <w:autoSpaceDE w:val="0"/>
      <w:autoSpaceDN w:val="0"/>
      <w:ind w:firstLine="200"/>
    </w:pPr>
    <w:rPr>
      <w:rFonts w:ascii="宋体" w:eastAsia="宋体"/>
    </w:rPr>
  </w:style>
  <w:style w:type="paragraph" w:customStyle="1" w:styleId="5">
    <w:name w:val="内容正文"/>
    <w:basedOn w:val="1"/>
    <w:qFormat/>
    <w:uiPriority w:val="0"/>
    <w:pPr>
      <w:adjustRightInd w:val="0"/>
      <w:snapToGrid w:val="0"/>
      <w:spacing w:beforeLines="50" w:afterLines="50" w:line="240" w:lineRule="auto"/>
      <w:ind w:firstLine="480"/>
    </w:pPr>
    <w:rPr>
      <w:rFonts w:eastAsia="微软雅黑"/>
    </w:rPr>
  </w:style>
  <w:style w:type="paragraph" w:styleId="10">
    <w:name w:val="caption"/>
    <w:basedOn w:val="1"/>
    <w:next w:val="1"/>
    <w:qFormat/>
    <w:uiPriority w:val="35"/>
    <w:pPr>
      <w:spacing w:line="240" w:lineRule="auto"/>
      <w:ind w:firstLine="0" w:firstLineChars="0"/>
      <w:jc w:val="center"/>
    </w:pPr>
    <w:rPr>
      <w:kern w:val="2"/>
    </w:rPr>
  </w:style>
  <w:style w:type="paragraph" w:styleId="11">
    <w:name w:val="Body Text"/>
    <w:basedOn w:val="1"/>
    <w:next w:val="8"/>
    <w:qFormat/>
    <w:uiPriority w:val="0"/>
    <w:pPr>
      <w:spacing w:after="120"/>
    </w:pPr>
    <w:rPr>
      <w:sz w:val="20"/>
      <w:lang w:val="zh-CN"/>
    </w:rPr>
  </w:style>
  <w:style w:type="paragraph" w:styleId="12">
    <w:name w:val="toc 2"/>
    <w:basedOn w:val="1"/>
    <w:next w:val="1"/>
    <w:qFormat/>
    <w:uiPriority w:val="39"/>
    <w:pPr>
      <w:ind w:left="420"/>
    </w:pPr>
  </w:style>
  <w:style w:type="paragraph" w:styleId="13">
    <w:name w:val="Body Text 2"/>
    <w:basedOn w:val="1"/>
    <w:qFormat/>
    <w:uiPriority w:val="0"/>
    <w:pPr>
      <w:keepNext w:val="0"/>
      <w:keepLines w:val="0"/>
      <w:widowControl w:val="0"/>
      <w:suppressLineNumbers w:val="0"/>
      <w:spacing w:after="120" w:afterLines="0" w:afterAutospacing="0" w:line="480" w:lineRule="auto"/>
      <w:jc w:val="both"/>
    </w:pPr>
    <w:rPr>
      <w:rFonts w:hint="default" w:ascii="Calibri" w:hAnsi="Calibri" w:eastAsia="宋体" w:cs="Times New Roman"/>
      <w:kern w:val="1"/>
      <w:sz w:val="21"/>
      <w:szCs w:val="21"/>
      <w:lang w:val="en-US" w:eastAsia="zh-CN" w:bidi="ar"/>
    </w:rPr>
  </w:style>
  <w:style w:type="paragraph" w:styleId="14">
    <w:name w:val="Normal (Web)"/>
    <w:basedOn w:val="1"/>
    <w:qFormat/>
    <w:uiPriority w:val="0"/>
    <w:rPr>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Char"/>
    <w:basedOn w:val="1"/>
    <w:link w:val="17"/>
    <w:qFormat/>
    <w:uiPriority w:val="0"/>
    <w:pPr>
      <w:snapToGrid w:val="0"/>
      <w:spacing w:line="440" w:lineRule="atLeast"/>
      <w:ind w:firstLine="200" w:firstLineChars="200"/>
    </w:pPr>
    <w:rPr>
      <w:rFonts w:ascii="宋体" w:hAnsi="Times New Roman"/>
      <w:sz w:val="24"/>
      <w:szCs w:val="24"/>
    </w:rPr>
  </w:style>
  <w:style w:type="character" w:styleId="19">
    <w:name w:val="Hyperlink"/>
    <w:basedOn w:val="17"/>
    <w:qFormat/>
    <w:uiPriority w:val="0"/>
    <w:rPr>
      <w:color w:val="0000FF"/>
      <w:u w:val="single"/>
    </w:rPr>
  </w:style>
  <w:style w:type="character" w:customStyle="1" w:styleId="20">
    <w:name w:val="font91"/>
    <w:basedOn w:val="17"/>
    <w:qFormat/>
    <w:uiPriority w:val="0"/>
    <w:rPr>
      <w:rFonts w:hint="eastAsia" w:ascii="宋体" w:hAnsi="宋体" w:eastAsia="宋体" w:cs="宋体"/>
      <w:color w:val="FF0000"/>
      <w:sz w:val="22"/>
      <w:szCs w:val="22"/>
      <w:u w:val="none"/>
    </w:rPr>
  </w:style>
  <w:style w:type="paragraph" w:customStyle="1" w:styleId="21">
    <w:name w:val="标题二"/>
    <w:basedOn w:val="1"/>
    <w:next w:val="1"/>
    <w:qFormat/>
    <w:uiPriority w:val="0"/>
    <w:pPr>
      <w:numPr>
        <w:ilvl w:val="1"/>
        <w:numId w:val="1"/>
      </w:numPr>
      <w:tabs>
        <w:tab w:val="left" w:pos="210"/>
      </w:tabs>
      <w:spacing w:before="100" w:beforeLines="100"/>
      <w:ind w:firstLine="0" w:firstLineChars="0"/>
      <w:outlineLvl w:val="1"/>
    </w:pPr>
    <w:rPr>
      <w:rFonts w:ascii="黑体" w:hAnsi="宋体"/>
      <w:b/>
      <w:szCs w:val="24"/>
    </w:rPr>
  </w:style>
  <w:style w:type="table" w:customStyle="1" w:styleId="22">
    <w:name w:val="样式1"/>
    <w:basedOn w:val="15"/>
    <w:qFormat/>
    <w:uiPriority w:val="99"/>
    <w:pPr>
      <w:spacing w:before="60" w:after="60"/>
      <w:jc w:val="center"/>
    </w:pPr>
    <w:rPr>
      <w:sz w:val="21"/>
    </w:rPr>
    <w:tblPr>
      <w:tblBorders>
        <w:top w:val="single" w:color="auto" w:sz="12" w:space="0"/>
        <w:bottom w:val="single" w:color="auto" w:sz="12" w:space="0"/>
      </w:tblBorders>
      <w:tblCellMar>
        <w:top w:w="0" w:type="dxa"/>
        <w:left w:w="108" w:type="dxa"/>
        <w:bottom w:w="0" w:type="dxa"/>
        <w:right w:w="108" w:type="dxa"/>
      </w:tblCellMar>
    </w:tblPr>
    <w:tcPr>
      <w:vAlign w:val="center"/>
    </w:tcPr>
  </w:style>
  <w:style w:type="paragraph" w:customStyle="1" w:styleId="23">
    <w:name w:val="标题三"/>
    <w:basedOn w:val="1"/>
    <w:next w:val="1"/>
    <w:qFormat/>
    <w:uiPriority w:val="0"/>
    <w:pPr>
      <w:numPr>
        <w:ilvl w:val="2"/>
        <w:numId w:val="1"/>
      </w:numPr>
      <w:tabs>
        <w:tab w:val="left" w:pos="210"/>
      </w:tabs>
      <w:spacing w:before="50" w:beforeLines="50"/>
      <w:ind w:firstLine="0" w:firstLineChars="0"/>
      <w:jc w:val="left"/>
      <w:outlineLvl w:val="2"/>
    </w:pPr>
    <w:rPr>
      <w:rFonts w:ascii="黑体" w:hAnsi="宋体"/>
      <w:b/>
      <w:szCs w:val="24"/>
    </w:rPr>
  </w:style>
  <w:style w:type="paragraph" w:customStyle="1" w:styleId="24">
    <w:name w:val="Default"/>
    <w:next w:val="12"/>
    <w:qFormat/>
    <w:uiPriority w:val="0"/>
    <w:pPr>
      <w:widowControl w:val="0"/>
      <w:autoSpaceDE w:val="0"/>
      <w:autoSpaceDN w:val="0"/>
      <w:adjustRightInd w:val="0"/>
      <w:spacing w:after="200" w:line="276" w:lineRule="auto"/>
    </w:pPr>
    <w:rPr>
      <w:rFonts w:ascii="宋体" w:hAnsi="Times New Roman" w:eastAsia="宋体" w:cs="宋体"/>
      <w:color w:val="000000"/>
      <w:sz w:val="24"/>
      <w:szCs w:val="24"/>
      <w:lang w:val="en-US" w:eastAsia="zh-CN" w:bidi="ar-SA"/>
    </w:rPr>
  </w:style>
  <w:style w:type="character" w:customStyle="1" w:styleId="25">
    <w:name w:val="10"/>
    <w:basedOn w:val="17"/>
    <w:uiPriority w:val="0"/>
    <w:rPr>
      <w:rFonts w:hint="eastAsia" w:ascii="宋体" w:hAnsi="Times New Roman" w:eastAsia="宋体" w:cs="宋体"/>
      <w:sz w:val="24"/>
      <w:szCs w:val="24"/>
    </w:rPr>
  </w:style>
  <w:style w:type="character" w:customStyle="1" w:styleId="26">
    <w:name w:val="15"/>
    <w:basedOn w:val="17"/>
    <w:uiPriority w:val="0"/>
    <w:rPr>
      <w:rFonts w:hint="eastAsia" w:ascii="宋体" w:hAnsi="宋体" w:eastAsia="宋体" w:cs="宋体"/>
      <w:color w:val="000000"/>
      <w:sz w:val="22"/>
      <w:szCs w:val="22"/>
    </w:rPr>
  </w:style>
  <w:style w:type="paragraph" w:customStyle="1" w:styleId="27">
    <w:name w:val="标题四"/>
    <w:basedOn w:val="1"/>
    <w:uiPriority w:val="0"/>
    <w:pPr>
      <w:keepNext w:val="0"/>
      <w:keepLines w:val="0"/>
      <w:widowControl w:val="0"/>
      <w:suppressLineNumbers w:val="0"/>
      <w:tabs>
        <w:tab w:val="left" w:pos="0"/>
        <w:tab w:val="left" w:pos="864"/>
      </w:tabs>
      <w:ind w:left="0" w:firstLine="0"/>
      <w:jc w:val="left"/>
      <w:outlineLvl w:val="3"/>
    </w:pPr>
    <w:rPr>
      <w:rFonts w:hint="default" w:ascii="Times New Roman" w:hAnsi="Times New Roman" w:eastAsia="宋体"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42</Pages>
  <Words>3094</Words>
  <Characters>3298</Characters>
  <Lines>1</Lines>
  <Paragraphs>1</Paragraphs>
  <TotalTime>46</TotalTime>
  <ScaleCrop>false</ScaleCrop>
  <LinksUpToDate>false</LinksUpToDate>
  <CharactersWithSpaces>3365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2025-09-01T16:37:00Z</dcterms:created>
  <dc:creator>李国富</dc:creator>
  <cp:lastModifiedBy>刘继行</cp:lastModifiedBy>
  <dcterms:modified xsi:type="dcterms:W3CDTF">2025-12-24T06:55:52Z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DC048BC631B92959B14D146937B4DAF9_43</vt:lpwstr>
  </property>
  <property fmtid="{D5CDD505-2E9C-101B-9397-08002B2CF9AE}" pid="4" name="KSOTemplateDocerSaveRecord">
    <vt:lpwstr>eyJoZGlkIjoiYzI3MGUyNjNlZjJmODVhN2U3MmNhMDYzNDAyNDNhZjciLCJ1c2VySWQiOiIxMjcxNDcxMzM3In0=</vt:lpwstr>
  </property>
</Properties>
</file>